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1044" w:firstLineChars="200"/>
        <w:jc w:val="center"/>
        <w:rPr>
          <w:rStyle w:val="35"/>
          <w:rFonts w:ascii="宋体"/>
          <w:b/>
          <w:bCs/>
          <w:color w:val="auto"/>
          <w:sz w:val="52"/>
          <w:szCs w:val="52"/>
          <w:highlight w:val="none"/>
        </w:rPr>
      </w:pPr>
    </w:p>
    <w:p>
      <w:pPr>
        <w:pStyle w:val="12"/>
        <w:rPr>
          <w:rStyle w:val="35"/>
          <w:rFonts w:ascii="宋体"/>
          <w:b/>
          <w:bCs/>
          <w:color w:val="auto"/>
          <w:sz w:val="52"/>
          <w:szCs w:val="52"/>
          <w:highlight w:val="none"/>
        </w:rPr>
      </w:pPr>
    </w:p>
    <w:p/>
    <w:p>
      <w:pPr>
        <w:adjustRightInd w:val="0"/>
        <w:snapToGrid w:val="0"/>
        <w:spacing w:before="240" w:beforeLines="100" w:line="360" w:lineRule="auto"/>
        <w:jc w:val="center"/>
        <w:rPr>
          <w:rStyle w:val="35"/>
          <w:rFonts w:hint="eastAsia" w:ascii="宋体" w:eastAsia="宋体"/>
          <w:b/>
          <w:bCs/>
          <w:color w:val="auto"/>
          <w:sz w:val="36"/>
          <w:szCs w:val="36"/>
          <w:highlight w:val="none"/>
        </w:rPr>
      </w:pPr>
      <w:r>
        <w:rPr>
          <w:rStyle w:val="35"/>
          <w:rFonts w:hint="eastAsia" w:ascii="宋体" w:eastAsia="宋体"/>
          <w:b/>
          <w:bCs/>
          <w:color w:val="auto"/>
          <w:sz w:val="36"/>
          <w:szCs w:val="36"/>
          <w:highlight w:val="none"/>
        </w:rPr>
        <w:t>中国中煤能源集团有限公司智能管控中心改造EPC项目</w:t>
      </w:r>
    </w:p>
    <w:p>
      <w:pPr>
        <w:adjustRightInd w:val="0"/>
        <w:snapToGrid w:val="0"/>
        <w:spacing w:before="240" w:beforeLines="100" w:line="360" w:lineRule="auto"/>
        <w:jc w:val="center"/>
        <w:rPr>
          <w:rStyle w:val="35"/>
          <w:rFonts w:hint="default" w:ascii="宋体" w:eastAsia="宋体"/>
          <w:b/>
          <w:bCs/>
          <w:color w:val="auto"/>
          <w:sz w:val="36"/>
          <w:szCs w:val="36"/>
          <w:highlight w:val="none"/>
          <w:lang w:val="en-US" w:eastAsia="zh-CN"/>
        </w:rPr>
      </w:pPr>
      <w:r>
        <w:rPr>
          <w:rStyle w:val="35"/>
          <w:rFonts w:hint="eastAsia" w:ascii="宋体" w:eastAsia="宋体"/>
          <w:b/>
          <w:bCs/>
          <w:color w:val="auto"/>
          <w:sz w:val="36"/>
          <w:szCs w:val="36"/>
          <w:highlight w:val="none"/>
        </w:rPr>
        <w:t>控制机房（集采以外部分）</w:t>
      </w:r>
      <w:r>
        <w:rPr>
          <w:rStyle w:val="35"/>
          <w:rFonts w:hint="eastAsia" w:ascii="宋体"/>
          <w:b/>
          <w:bCs/>
          <w:color w:val="auto"/>
          <w:sz w:val="36"/>
          <w:szCs w:val="36"/>
          <w:highlight w:val="none"/>
          <w:lang w:val="en-US" w:eastAsia="zh-CN"/>
        </w:rPr>
        <w:t>二次挂网</w:t>
      </w:r>
    </w:p>
    <w:p>
      <w:pPr>
        <w:adjustRightInd w:val="0"/>
        <w:snapToGrid w:val="0"/>
        <w:spacing w:before="240" w:beforeLines="100" w:line="360" w:lineRule="auto"/>
        <w:jc w:val="center"/>
        <w:rPr>
          <w:rStyle w:val="35"/>
          <w:rFonts w:ascii="宋体"/>
          <w:b/>
          <w:bCs/>
          <w:color w:val="auto"/>
          <w:sz w:val="44"/>
          <w:szCs w:val="44"/>
          <w:highlight w:val="none"/>
        </w:rPr>
      </w:pPr>
      <w:r>
        <w:rPr>
          <w:rStyle w:val="35"/>
          <w:rFonts w:hint="eastAsia" w:ascii="宋体"/>
          <w:b/>
          <w:bCs/>
          <w:color w:val="auto"/>
          <w:sz w:val="44"/>
          <w:szCs w:val="44"/>
          <w:highlight w:val="none"/>
        </w:rPr>
        <w:t>谈判采购文件</w:t>
      </w:r>
    </w:p>
    <w:p>
      <w:pPr>
        <w:adjustRightInd w:val="0"/>
        <w:snapToGrid w:val="0"/>
        <w:ind w:firstLine="1687" w:firstLineChars="200"/>
        <w:rPr>
          <w:rStyle w:val="35"/>
          <w:rFonts w:eastAsia="黑体"/>
          <w:b/>
          <w:color w:val="auto"/>
          <w:sz w:val="84"/>
          <w:highlight w:val="none"/>
        </w:rPr>
      </w:pPr>
    </w:p>
    <w:p>
      <w:pPr>
        <w:adjustRightInd w:val="0"/>
        <w:snapToGrid w:val="0"/>
        <w:ind w:firstLine="400" w:firstLineChars="200"/>
        <w:rPr>
          <w:rStyle w:val="35"/>
          <w:rFonts w:ascii="宋体"/>
          <w:color w:val="auto"/>
          <w:szCs w:val="21"/>
          <w:highlight w:val="none"/>
        </w:rPr>
      </w:pPr>
    </w:p>
    <w:p>
      <w:pPr>
        <w:pStyle w:val="4"/>
        <w:ind w:left="0" w:leftChars="0" w:firstLine="0" w:firstLineChars="0"/>
        <w:rPr>
          <w:rStyle w:val="35"/>
          <w:rFonts w:ascii="宋体"/>
          <w:color w:val="auto"/>
          <w:szCs w:val="21"/>
          <w:highlight w:val="none"/>
        </w:rPr>
      </w:pPr>
    </w:p>
    <w:p>
      <w:pPr>
        <w:pStyle w:val="4"/>
        <w:rPr>
          <w:rStyle w:val="35"/>
          <w:rFonts w:ascii="宋体"/>
          <w:color w:val="auto"/>
          <w:szCs w:val="21"/>
          <w:highlight w:val="none"/>
        </w:rPr>
      </w:pPr>
    </w:p>
    <w:p>
      <w:pPr>
        <w:rPr>
          <w:rStyle w:val="35"/>
          <w:rFonts w:ascii="宋体"/>
          <w:color w:val="auto"/>
          <w:szCs w:val="21"/>
          <w:highlight w:val="none"/>
        </w:rPr>
      </w:pPr>
    </w:p>
    <w:p>
      <w:pPr>
        <w:pStyle w:val="34"/>
        <w:rPr>
          <w:rStyle w:val="35"/>
          <w:rFonts w:ascii="宋体"/>
          <w:color w:val="auto"/>
          <w:szCs w:val="21"/>
          <w:highlight w:val="none"/>
        </w:rPr>
      </w:pPr>
    </w:p>
    <w:p>
      <w:pPr>
        <w:pStyle w:val="34"/>
        <w:rPr>
          <w:rStyle w:val="35"/>
          <w:rFonts w:ascii="宋体"/>
          <w:color w:val="auto"/>
          <w:szCs w:val="21"/>
          <w:highlight w:val="none"/>
        </w:rPr>
      </w:pPr>
    </w:p>
    <w:p>
      <w:pPr>
        <w:pStyle w:val="4"/>
        <w:rPr>
          <w:rStyle w:val="35"/>
          <w:rFonts w:ascii="宋体"/>
          <w:color w:val="auto"/>
          <w:szCs w:val="21"/>
          <w:highlight w:val="none"/>
        </w:rPr>
      </w:pPr>
    </w:p>
    <w:p>
      <w:pPr>
        <w:rPr>
          <w:rStyle w:val="35"/>
          <w:rFonts w:ascii="宋体"/>
          <w:color w:val="auto"/>
          <w:szCs w:val="21"/>
          <w:highlight w:val="none"/>
        </w:rPr>
      </w:pPr>
    </w:p>
    <w:p>
      <w:pPr>
        <w:pStyle w:val="12"/>
        <w:rPr>
          <w:rStyle w:val="35"/>
          <w:rFonts w:ascii="宋体"/>
          <w:color w:val="auto"/>
          <w:szCs w:val="21"/>
          <w:highlight w:val="none"/>
        </w:rPr>
      </w:pPr>
    </w:p>
    <w:p/>
    <w:p>
      <w:pPr>
        <w:adjustRightInd w:val="0"/>
        <w:snapToGrid w:val="0"/>
        <w:ind w:firstLine="640" w:firstLineChars="200"/>
        <w:jc w:val="center"/>
        <w:rPr>
          <w:rFonts w:ascii="宋体"/>
          <w:color w:val="auto"/>
          <w:sz w:val="32"/>
          <w:szCs w:val="32"/>
          <w:highlight w:val="none"/>
        </w:rPr>
      </w:pPr>
    </w:p>
    <w:p>
      <w:pPr>
        <w:adjustRightInd w:val="0"/>
        <w:snapToGrid w:val="0"/>
        <w:spacing w:line="360" w:lineRule="auto"/>
        <w:ind w:firstLine="1280" w:firstLineChars="400"/>
        <w:rPr>
          <w:rFonts w:hint="eastAsia" w:ascii="宋体"/>
          <w:color w:val="auto"/>
          <w:sz w:val="32"/>
          <w:szCs w:val="32"/>
          <w:highlight w:val="none"/>
        </w:rPr>
      </w:pPr>
      <w:r>
        <w:rPr>
          <w:rFonts w:hint="eastAsia" w:ascii="宋体"/>
          <w:color w:val="auto"/>
          <w:sz w:val="32"/>
          <w:szCs w:val="32"/>
          <w:highlight w:val="none"/>
        </w:rPr>
        <w:t>采购项目编号：XJ2024047828</w:t>
      </w:r>
    </w:p>
    <w:p>
      <w:pPr>
        <w:adjustRightInd w:val="0"/>
        <w:snapToGrid w:val="0"/>
        <w:spacing w:line="360" w:lineRule="auto"/>
        <w:ind w:firstLine="1280" w:firstLineChars="400"/>
        <w:rPr>
          <w:rFonts w:ascii="宋体"/>
          <w:b/>
          <w:color w:val="auto"/>
          <w:sz w:val="32"/>
          <w:szCs w:val="32"/>
          <w:highlight w:val="none"/>
        </w:rPr>
      </w:pPr>
      <w:r>
        <w:rPr>
          <w:rFonts w:hint="eastAsia" w:ascii="宋体"/>
          <w:color w:val="auto"/>
          <w:sz w:val="32"/>
          <w:szCs w:val="32"/>
          <w:highlight w:val="none"/>
        </w:rPr>
        <w:t>采   购   人：中煤天津设计工程有限责任公司</w:t>
      </w:r>
    </w:p>
    <w:p>
      <w:pPr>
        <w:pStyle w:val="2"/>
        <w:spacing w:line="360" w:lineRule="auto"/>
        <w:jc w:val="center"/>
        <w:rPr>
          <w:rFonts w:hint="default" w:ascii="宋体" w:hAnsi="Times New Roman" w:eastAsia="宋体" w:cs="Times New Roman"/>
          <w:b w:val="0"/>
          <w:color w:val="auto"/>
          <w:sz w:val="32"/>
          <w:szCs w:val="32"/>
          <w:highlight w:val="none"/>
          <w:lang w:val="en-US" w:eastAsia="zh-CN" w:bidi="ar-SA"/>
        </w:rPr>
      </w:pPr>
      <w:r>
        <w:rPr>
          <w:rFonts w:hint="eastAsia" w:ascii="宋体" w:hAnsi="Times New Roman" w:eastAsia="宋体" w:cs="Times New Roman"/>
          <w:b w:val="0"/>
          <w:color w:val="auto"/>
          <w:sz w:val="32"/>
          <w:szCs w:val="32"/>
          <w:highlight w:val="none"/>
          <w:lang w:val="en-US" w:eastAsia="zh-CN" w:bidi="ar-SA"/>
        </w:rPr>
        <w:t>202</w:t>
      </w:r>
      <w:r>
        <w:rPr>
          <w:rFonts w:hint="eastAsia" w:ascii="宋体" w:cs="Times New Roman"/>
          <w:b w:val="0"/>
          <w:color w:val="auto"/>
          <w:sz w:val="32"/>
          <w:szCs w:val="32"/>
          <w:highlight w:val="none"/>
          <w:lang w:val="en-US" w:eastAsia="zh-CN" w:bidi="ar-SA"/>
        </w:rPr>
        <w:t>4</w:t>
      </w:r>
      <w:r>
        <w:rPr>
          <w:rFonts w:hint="eastAsia" w:ascii="宋体" w:hAnsi="Times New Roman" w:eastAsia="宋体" w:cs="Times New Roman"/>
          <w:b w:val="0"/>
          <w:color w:val="auto"/>
          <w:sz w:val="32"/>
          <w:szCs w:val="32"/>
          <w:highlight w:val="none"/>
          <w:lang w:val="en-US" w:eastAsia="zh-CN" w:bidi="ar-SA"/>
        </w:rPr>
        <w:t>年</w:t>
      </w:r>
      <w:r>
        <w:rPr>
          <w:rFonts w:hint="eastAsia" w:ascii="宋体" w:cs="Times New Roman"/>
          <w:b w:val="0"/>
          <w:color w:val="auto"/>
          <w:sz w:val="32"/>
          <w:szCs w:val="32"/>
          <w:highlight w:val="none"/>
          <w:lang w:val="en-US" w:eastAsia="zh-CN" w:bidi="ar-SA"/>
        </w:rPr>
        <w:t>4</w:t>
      </w:r>
      <w:r>
        <w:rPr>
          <w:rFonts w:hint="eastAsia" w:ascii="宋体" w:hAnsi="Times New Roman" w:eastAsia="宋体" w:cs="Times New Roman"/>
          <w:b w:val="0"/>
          <w:color w:val="auto"/>
          <w:sz w:val="32"/>
          <w:szCs w:val="32"/>
          <w:highlight w:val="none"/>
          <w:lang w:val="en-US" w:eastAsia="zh-CN" w:bidi="ar-SA"/>
        </w:rPr>
        <w:t>月</w:t>
      </w:r>
      <w:bookmarkStart w:id="564" w:name="_GoBack"/>
      <w:bookmarkEnd w:id="564"/>
    </w:p>
    <w:p>
      <w:pPr>
        <w:keepNext w:val="0"/>
        <w:keepLines w:val="0"/>
        <w:pageBreakBefore w:val="0"/>
        <w:widowControl/>
        <w:tabs>
          <w:tab w:val="right" w:leader="dot" w:pos="8931"/>
        </w:tabs>
        <w:kinsoku/>
        <w:wordWrap/>
        <w:overflowPunct/>
        <w:topLinePunct w:val="0"/>
        <w:autoSpaceDE/>
        <w:autoSpaceDN/>
        <w:bidi w:val="0"/>
        <w:adjustRightInd/>
        <w:snapToGrid/>
        <w:ind w:firstLine="100" w:firstLineChars="50"/>
        <w:jc w:val="center"/>
        <w:textAlignment w:val="auto"/>
        <w:outlineLvl w:val="0"/>
        <w:rPr>
          <w:rFonts w:ascii="宋体"/>
          <w:color w:val="auto"/>
          <w:highlight w:val="none"/>
        </w:rPr>
      </w:pPr>
      <w:r>
        <w:rPr>
          <w:rFonts w:ascii="宋体" w:eastAsia="宋体"/>
          <w:color w:val="auto"/>
          <w:highlight w:val="none"/>
        </w:rPr>
        <w:br w:type="page"/>
      </w:r>
      <w:bookmarkStart w:id="0" w:name="_Toc4336"/>
      <w:bookmarkStart w:id="1" w:name="_Toc4353"/>
      <w:bookmarkStart w:id="2" w:name="_Toc199040648"/>
      <w:bookmarkStart w:id="3" w:name="_Toc376793708"/>
      <w:bookmarkStart w:id="4" w:name="_Toc382509453"/>
      <w:bookmarkStart w:id="5" w:name="_Toc199062850"/>
      <w:bookmarkStart w:id="6" w:name="_Toc199065441"/>
      <w:bookmarkStart w:id="7" w:name="_Toc376793553"/>
      <w:bookmarkStart w:id="8" w:name="_Toc376164237"/>
      <w:bookmarkStart w:id="9" w:name="_Toc376793572"/>
    </w:p>
    <w:p>
      <w:pPr>
        <w:pStyle w:val="19"/>
        <w:rPr>
          <w:rFonts w:hint="eastAsia" w:ascii="Calibri" w:hAnsi="Calibri" w:eastAsia="黑体" w:cs="Arial"/>
          <w:b w:val="0"/>
          <w:bCs w:val="0"/>
          <w:caps w:val="0"/>
          <w:sz w:val="21"/>
          <w:szCs w:val="22"/>
          <w:lang w:eastAsia="zh-CN"/>
        </w:rPr>
      </w:pPr>
      <w:r>
        <w:fldChar w:fldCharType="begin"/>
      </w:r>
      <w:r>
        <w:instrText xml:space="preserve"> HYPERLINK \l "_Toc10184872" </w:instrText>
      </w:r>
      <w:r>
        <w:fldChar w:fldCharType="separate"/>
      </w:r>
      <w:r>
        <w:rPr>
          <w:rFonts w:hint="eastAsia" w:ascii="宋体" w:hAnsi="宋体"/>
        </w:rPr>
        <w:t>第一章 采购</w:t>
      </w:r>
      <w:r>
        <w:rPr>
          <w:rFonts w:hint="eastAsia" w:ascii="宋体" w:hAnsi="宋体"/>
          <w:lang w:eastAsia="zh-CN"/>
        </w:rPr>
        <w:t>公</w:t>
      </w:r>
      <w:r>
        <w:rPr>
          <w:rFonts w:hint="eastAsia" w:ascii="宋体" w:hAnsi="宋体"/>
        </w:rPr>
        <w:fldChar w:fldCharType="end"/>
      </w:r>
      <w:r>
        <w:rPr>
          <w:rFonts w:hint="eastAsia" w:ascii="宋体" w:hAnsi="宋体"/>
          <w:lang w:eastAsia="zh-CN"/>
        </w:rPr>
        <w:t>告</w:t>
      </w:r>
    </w:p>
    <w:p>
      <w:pPr>
        <w:pStyle w:val="19"/>
      </w:pPr>
    </w:p>
    <w:p>
      <w:pPr>
        <w:pStyle w:val="19"/>
        <w:rPr>
          <w:rFonts w:ascii="Calibri" w:hAnsi="Calibri" w:eastAsia="宋体" w:cs="Arial"/>
          <w:b w:val="0"/>
          <w:bCs w:val="0"/>
          <w:caps w:val="0"/>
          <w:sz w:val="21"/>
          <w:szCs w:val="22"/>
        </w:rPr>
      </w:pPr>
      <w:r>
        <w:fldChar w:fldCharType="begin"/>
      </w:r>
      <w:r>
        <w:instrText xml:space="preserve"> HYPERLINK \l "_Toc10184873" </w:instrText>
      </w:r>
      <w:r>
        <w:fldChar w:fldCharType="separate"/>
      </w:r>
      <w:r>
        <w:rPr>
          <w:rFonts w:hint="eastAsia" w:ascii="宋体" w:hAnsi="宋体"/>
        </w:rPr>
        <w:t>第二章 供应商须知及前附表</w:t>
      </w:r>
      <w:r>
        <w:rPr>
          <w:rFonts w:hint="eastAsia" w:ascii="宋体" w:hAnsi="宋体"/>
        </w:rPr>
        <w:fldChar w:fldCharType="end"/>
      </w:r>
    </w:p>
    <w:p>
      <w:pPr>
        <w:pStyle w:val="19"/>
      </w:pPr>
    </w:p>
    <w:p>
      <w:pPr>
        <w:pStyle w:val="19"/>
        <w:rPr>
          <w:rFonts w:ascii="Calibri" w:hAnsi="Calibri" w:eastAsia="宋体" w:cs="Arial"/>
          <w:b w:val="0"/>
          <w:bCs w:val="0"/>
          <w:caps w:val="0"/>
          <w:sz w:val="21"/>
          <w:szCs w:val="22"/>
        </w:rPr>
      </w:pPr>
      <w:r>
        <w:fldChar w:fldCharType="begin"/>
      </w:r>
      <w:r>
        <w:instrText xml:space="preserve"> HYPERLINK \l "_Toc10184881" </w:instrText>
      </w:r>
      <w:r>
        <w:fldChar w:fldCharType="separate"/>
      </w:r>
      <w:r>
        <w:rPr>
          <w:rFonts w:hint="eastAsia" w:ascii="宋体" w:hAnsi="宋体"/>
        </w:rPr>
        <w:t>第三章 合同主要条款</w:t>
      </w:r>
      <w:r>
        <w:rPr>
          <w:rFonts w:hint="eastAsia" w:ascii="宋体" w:hAnsi="宋体"/>
        </w:rPr>
        <w:fldChar w:fldCharType="end"/>
      </w:r>
    </w:p>
    <w:p>
      <w:pPr>
        <w:pStyle w:val="19"/>
      </w:pPr>
    </w:p>
    <w:p>
      <w:pPr>
        <w:pStyle w:val="19"/>
        <w:rPr>
          <w:rFonts w:ascii="Calibri" w:hAnsi="Calibri" w:eastAsia="宋体" w:cs="Arial"/>
          <w:b w:val="0"/>
          <w:bCs w:val="0"/>
          <w:caps w:val="0"/>
          <w:sz w:val="21"/>
          <w:szCs w:val="22"/>
        </w:rPr>
      </w:pPr>
      <w:r>
        <w:fldChar w:fldCharType="begin"/>
      </w:r>
      <w:r>
        <w:instrText xml:space="preserve"> HYPERLINK \l "_Toc10184882" </w:instrText>
      </w:r>
      <w:r>
        <w:fldChar w:fldCharType="separate"/>
      </w:r>
      <w:r>
        <w:rPr>
          <w:rFonts w:hint="eastAsia" w:ascii="宋体" w:hAnsi="宋体"/>
        </w:rPr>
        <w:t>第四章 技术规格书</w:t>
      </w:r>
      <w:r>
        <w:rPr>
          <w:rFonts w:hint="eastAsia" w:ascii="宋体" w:hAnsi="宋体"/>
        </w:rPr>
        <w:fldChar w:fldCharType="end"/>
      </w:r>
    </w:p>
    <w:p>
      <w:pPr>
        <w:pStyle w:val="19"/>
      </w:pPr>
    </w:p>
    <w:p>
      <w:pPr>
        <w:pStyle w:val="19"/>
        <w:rPr>
          <w:rFonts w:hint="eastAsia"/>
        </w:rPr>
      </w:pPr>
      <w:r>
        <w:fldChar w:fldCharType="begin"/>
      </w:r>
      <w:r>
        <w:instrText xml:space="preserve"> HYPERLINK \l "_Toc10184883" </w:instrText>
      </w:r>
      <w:r>
        <w:fldChar w:fldCharType="separate"/>
      </w:r>
      <w:r>
        <w:rPr>
          <w:rFonts w:hint="eastAsia"/>
        </w:rPr>
        <w:t>第五章 采购响应文件格式</w:t>
      </w:r>
      <w:r>
        <w:rPr>
          <w:rFonts w:hint="eastAsia"/>
        </w:rPr>
        <w:fldChar w:fldCharType="end"/>
      </w:r>
    </w:p>
    <w:p>
      <w:pPr>
        <w:keepNext w:val="0"/>
        <w:keepLines w:val="0"/>
        <w:pageBreakBefore w:val="0"/>
        <w:widowControl/>
        <w:tabs>
          <w:tab w:val="right" w:leader="dot" w:pos="8931"/>
        </w:tabs>
        <w:kinsoku/>
        <w:wordWrap/>
        <w:overflowPunct/>
        <w:topLinePunct w:val="0"/>
        <w:autoSpaceDE/>
        <w:autoSpaceDN/>
        <w:bidi w:val="0"/>
        <w:adjustRightInd/>
        <w:snapToGrid/>
        <w:ind w:firstLine="100" w:firstLineChars="50"/>
        <w:jc w:val="center"/>
        <w:textAlignment w:val="auto"/>
        <w:outlineLvl w:val="0"/>
        <w:rPr>
          <w:rFonts w:ascii="宋体"/>
          <w:color w:val="auto"/>
          <w:highlight w:val="none"/>
        </w:rPr>
        <w:sectPr>
          <w:headerReference r:id="rId3" w:type="default"/>
          <w:pgSz w:w="11906" w:h="16838"/>
          <w:pgMar w:top="1417" w:right="1247" w:bottom="1134" w:left="1531" w:header="851" w:footer="992" w:gutter="0"/>
          <w:pgNumType w:start="1"/>
          <w:cols w:space="0" w:num="1"/>
          <w:rtlGutter w:val="0"/>
          <w:docGrid w:type="lines" w:linePitch="312" w:charSpace="0"/>
        </w:sectPr>
      </w:pPr>
    </w:p>
    <w:p>
      <w:pPr>
        <w:keepNext w:val="0"/>
        <w:keepLines w:val="0"/>
        <w:pageBreakBefore w:val="0"/>
        <w:widowControl/>
        <w:tabs>
          <w:tab w:val="right" w:leader="dot" w:pos="8931"/>
        </w:tabs>
        <w:kinsoku/>
        <w:wordWrap/>
        <w:overflowPunct/>
        <w:topLinePunct w:val="0"/>
        <w:autoSpaceDE/>
        <w:autoSpaceDN/>
        <w:bidi w:val="0"/>
        <w:adjustRightInd/>
        <w:snapToGrid/>
        <w:ind w:firstLine="160" w:firstLineChars="50"/>
        <w:jc w:val="center"/>
        <w:textAlignment w:val="auto"/>
        <w:outlineLvl w:val="0"/>
        <w:rPr>
          <w:rFonts w:hint="eastAsia" w:ascii="宋体" w:eastAsia="宋体"/>
          <w:b/>
          <w:color w:val="auto"/>
          <w:kern w:val="2"/>
          <w:sz w:val="32"/>
          <w:szCs w:val="32"/>
          <w:highlight w:val="none"/>
          <w:lang w:eastAsia="zh-CN"/>
        </w:rPr>
      </w:pPr>
      <w:r>
        <w:rPr>
          <w:rFonts w:hint="eastAsia" w:ascii="宋体"/>
          <w:b/>
          <w:color w:val="auto"/>
          <w:kern w:val="2"/>
          <w:sz w:val="32"/>
          <w:szCs w:val="32"/>
          <w:highlight w:val="none"/>
        </w:rPr>
        <w:t>第一</w:t>
      </w:r>
      <w:r>
        <w:rPr>
          <w:rFonts w:ascii="宋体"/>
          <w:b/>
          <w:color w:val="auto"/>
          <w:kern w:val="2"/>
          <w:sz w:val="32"/>
          <w:szCs w:val="32"/>
          <w:highlight w:val="none"/>
        </w:rPr>
        <w:t>章</w:t>
      </w:r>
      <w:bookmarkEnd w:id="0"/>
      <w:r>
        <w:rPr>
          <w:rFonts w:hint="eastAsia" w:ascii="宋体"/>
          <w:b/>
          <w:color w:val="auto"/>
          <w:kern w:val="2"/>
          <w:sz w:val="32"/>
          <w:szCs w:val="32"/>
          <w:highlight w:val="none"/>
        </w:rPr>
        <w:t xml:space="preserve"> 采购</w:t>
      </w:r>
      <w:r>
        <w:rPr>
          <w:rFonts w:hint="eastAsia" w:ascii="宋体"/>
          <w:b/>
          <w:color w:val="auto"/>
          <w:kern w:val="2"/>
          <w:sz w:val="32"/>
          <w:szCs w:val="32"/>
          <w:highlight w:val="none"/>
          <w:lang w:eastAsia="zh-CN"/>
        </w:rPr>
        <w:t>公告</w:t>
      </w:r>
      <w:bookmarkEnd w:id="1"/>
    </w:p>
    <w:p>
      <w:pPr>
        <w:pStyle w:val="25"/>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Fonts w:hint="eastAsia" w:hAnsi="宋体"/>
          <w:color w:val="auto"/>
          <w:szCs w:val="22"/>
          <w:highlight w:val="none"/>
        </w:rPr>
      </w:pPr>
      <w:r>
        <w:rPr>
          <w:rFonts w:hint="eastAsia" w:ascii="Arial" w:hAnsi="Arial" w:cs="Arial"/>
          <w:color w:val="auto"/>
          <w:highlight w:val="none"/>
        </w:rPr>
        <w:t>项目编号：</w:t>
      </w:r>
      <w:r>
        <w:rPr>
          <w:rFonts w:hint="eastAsia" w:hAnsi="宋体"/>
          <w:color w:val="auto"/>
          <w:szCs w:val="22"/>
          <w:highlight w:val="none"/>
        </w:rPr>
        <w:t>XJ2024041238</w:t>
      </w:r>
    </w:p>
    <w:p>
      <w:pPr>
        <w:pStyle w:val="25"/>
        <w:keepNext w:val="0"/>
        <w:keepLines w:val="0"/>
        <w:pageBreakBefore w:val="0"/>
        <w:kinsoku/>
        <w:overflowPunct/>
        <w:topLinePunct w:val="0"/>
        <w:autoSpaceDE/>
        <w:autoSpaceDN/>
        <w:bidi w:val="0"/>
        <w:adjustRightInd/>
        <w:snapToGrid/>
        <w:spacing w:before="0" w:beforeAutospacing="0" w:after="0" w:afterAutospacing="0" w:line="520" w:lineRule="exact"/>
        <w:textAlignment w:val="auto"/>
        <w:rPr>
          <w:rFonts w:ascii="Arial" w:hAnsi="Arial" w:cs="Arial"/>
          <w:color w:val="auto"/>
          <w:highlight w:val="none"/>
        </w:rPr>
      </w:pPr>
      <w:r>
        <w:rPr>
          <w:rFonts w:hint="eastAsia" w:ascii="Arial" w:hAnsi="Arial" w:cs="Arial"/>
          <w:color w:val="auto"/>
          <w:highlight w:val="none"/>
        </w:rPr>
        <w:t>类       别：</w:t>
      </w:r>
      <w:r>
        <w:rPr>
          <w:rFonts w:hint="eastAsia" w:ascii="Arial" w:hAnsi="Arial" w:cs="Arial"/>
          <w:color w:val="auto"/>
          <w:highlight w:val="none"/>
          <w:lang w:val="en-US" w:eastAsia="zh-CN"/>
        </w:rPr>
        <w:t>公开</w:t>
      </w:r>
      <w:r>
        <w:rPr>
          <w:rFonts w:hint="eastAsia" w:ascii="Arial" w:hAnsi="Arial" w:cs="Arial"/>
          <w:color w:val="auto"/>
          <w:highlight w:val="none"/>
        </w:rPr>
        <w:t>竞争性谈判</w:t>
      </w:r>
    </w:p>
    <w:p>
      <w:pPr>
        <w:pStyle w:val="4"/>
        <w:keepNext w:val="0"/>
        <w:keepLines w:val="0"/>
        <w:pageBreakBefore w:val="0"/>
        <w:kinsoku/>
        <w:overflowPunct/>
        <w:topLinePunct w:val="0"/>
        <w:autoSpaceDE/>
        <w:autoSpaceDN/>
        <w:bidi w:val="0"/>
        <w:adjustRightInd/>
        <w:snapToGrid/>
        <w:spacing w:beforeAutospacing="0" w:afterAutospacing="0" w:line="520" w:lineRule="exact"/>
        <w:ind w:firstLine="0"/>
        <w:textAlignment w:val="auto"/>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谈判</w:t>
      </w:r>
      <w:r>
        <w:rPr>
          <w:rFonts w:hint="eastAsia" w:ascii="宋体" w:hAnsi="宋体" w:eastAsia="宋体" w:cs="宋体"/>
          <w:color w:val="auto"/>
          <w:kern w:val="0"/>
          <w:sz w:val="24"/>
          <w:highlight w:val="none"/>
        </w:rPr>
        <w:t>时间：</w:t>
      </w:r>
      <w:bookmarkStart w:id="10" w:name="NoticeOpenTime_0_5149"/>
      <w:r>
        <w:rPr>
          <w:rFonts w:hint="eastAsia" w:ascii="宋体" w:hAnsi="宋体" w:eastAsia="宋体" w:cs="宋体"/>
          <w:color w:val="auto"/>
          <w:kern w:val="0"/>
          <w:sz w:val="24"/>
          <w:highlight w:val="none"/>
        </w:rPr>
        <w:t>202</w:t>
      </w: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lang w:val="en-US" w:eastAsia="zh-CN"/>
        </w:rPr>
        <w:t>-</w:t>
      </w:r>
      <w:r>
        <w:rPr>
          <w:rFonts w:hint="eastAsia" w:ascii="宋体" w:hAnsi="宋体" w:cs="宋体"/>
          <w:color w:val="auto"/>
          <w:kern w:val="0"/>
          <w:sz w:val="24"/>
          <w:highlight w:val="none"/>
          <w:lang w:val="en-US" w:eastAsia="zh-CN"/>
        </w:rPr>
        <w:t>29</w:t>
      </w:r>
      <w:r>
        <w:rPr>
          <w:rFonts w:hint="eastAsia" w:ascii="宋体" w:hAnsi="宋体" w:eastAsia="宋体" w:cs="宋体"/>
          <w:color w:val="auto"/>
          <w:kern w:val="0"/>
          <w:sz w:val="24"/>
          <w:highlight w:val="none"/>
          <w:lang w:val="en-US" w:eastAsia="zh-CN"/>
        </w:rPr>
        <w:t xml:space="preserve">  </w:t>
      </w:r>
      <w:r>
        <w:rPr>
          <w:rFonts w:hint="eastAsia" w:ascii="宋体" w:hAnsi="宋体" w:cs="宋体"/>
          <w:color w:val="auto"/>
          <w:kern w:val="0"/>
          <w:sz w:val="24"/>
          <w:highlight w:val="none"/>
          <w:lang w:val="en-US" w:eastAsia="zh-CN"/>
        </w:rPr>
        <w:t>14</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0</w:t>
      </w:r>
      <w:r>
        <w:rPr>
          <w:rFonts w:hint="eastAsia" w:ascii="宋体" w:hAnsi="宋体" w:eastAsia="宋体" w:cs="宋体"/>
          <w:color w:val="auto"/>
          <w:kern w:val="0"/>
          <w:sz w:val="24"/>
          <w:highlight w:val="none"/>
        </w:rPr>
        <w:t>0</w:t>
      </w:r>
      <w:bookmarkEnd w:id="10"/>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Fonts w:ascii="宋体" w:hAnsi="宋体" w:eastAsia="宋体" w:cs="宋体"/>
          <w:b w:val="0"/>
          <w:color w:val="auto"/>
          <w:sz w:val="24"/>
          <w:szCs w:val="24"/>
          <w:highlight w:val="none"/>
        </w:rPr>
        <w:t>根据相关法律法规，遵循公开、公平、公正和诚实信用的原则，现对</w:t>
      </w:r>
      <w:r>
        <w:rPr>
          <w:rFonts w:hint="eastAsia" w:ascii="宋体" w:hAnsi="宋体" w:cs="宋体"/>
          <w:sz w:val="24"/>
        </w:rPr>
        <w:t>关中国中煤能源集团有限公司智能管控中心改造EPC项目控制机房（集采以外部分）</w:t>
      </w:r>
      <w:r>
        <w:rPr>
          <w:rFonts w:hint="eastAsia" w:hAnsi="宋体" w:cs="宋体"/>
          <w:b w:val="0"/>
          <w:color w:val="auto"/>
          <w:sz w:val="24"/>
          <w:szCs w:val="24"/>
          <w:highlight w:val="none"/>
          <w:lang w:eastAsia="zh-CN"/>
        </w:rPr>
        <w:t>采购进行公开</w:t>
      </w:r>
      <w:r>
        <w:rPr>
          <w:rFonts w:hint="eastAsia" w:ascii="宋体" w:hAnsi="宋体" w:eastAsia="宋体" w:cs="宋体"/>
          <w:b w:val="0"/>
          <w:color w:val="auto"/>
          <w:sz w:val="24"/>
          <w:szCs w:val="24"/>
          <w:highlight w:val="none"/>
          <w:lang w:val="en-US" w:eastAsia="zh-CN"/>
        </w:rPr>
        <w:t>竞争性谈判</w:t>
      </w:r>
      <w:r>
        <w:rPr>
          <w:rFonts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val="en-US" w:eastAsia="zh-CN"/>
        </w:rPr>
        <w:t>现邀请合格的</w:t>
      </w:r>
      <w:r>
        <w:rPr>
          <w:rFonts w:hint="eastAsia" w:hAnsi="宋体" w:cs="宋体"/>
          <w:b w:val="0"/>
          <w:color w:val="auto"/>
          <w:sz w:val="24"/>
          <w:szCs w:val="24"/>
          <w:highlight w:val="none"/>
          <w:lang w:val="en-US" w:eastAsia="zh-CN"/>
        </w:rPr>
        <w:t>潜在</w:t>
      </w:r>
      <w:r>
        <w:rPr>
          <w:rFonts w:hint="eastAsia" w:hAnsi="宋体" w:cs="宋体"/>
          <w:b w:val="0"/>
          <w:color w:val="auto"/>
          <w:sz w:val="24"/>
          <w:szCs w:val="24"/>
          <w:highlight w:val="none"/>
          <w:lang w:eastAsia="zh-CN"/>
        </w:rPr>
        <w:t>供应商</w:t>
      </w:r>
      <w:r>
        <w:rPr>
          <w:rFonts w:ascii="宋体" w:hAnsi="宋体" w:eastAsia="宋体" w:cs="宋体"/>
          <w:b w:val="0"/>
          <w:color w:val="auto"/>
          <w:sz w:val="24"/>
          <w:szCs w:val="24"/>
          <w:highlight w:val="none"/>
        </w:rPr>
        <w:t>参加。</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1、采购范围</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b w:val="0"/>
          <w:color w:val="auto"/>
          <w:sz w:val="24"/>
          <w:szCs w:val="24"/>
          <w:highlight w:val="yellow"/>
          <w:lang w:val="en-US" w:eastAsia="zh-CN"/>
        </w:rPr>
      </w:pPr>
      <w:r>
        <w:rPr>
          <w:rFonts w:hint="eastAsia" w:ascii="宋体" w:hAnsi="宋体" w:eastAsia="宋体" w:cs="宋体"/>
          <w:b w:val="0"/>
          <w:color w:val="auto"/>
          <w:sz w:val="24"/>
          <w:szCs w:val="24"/>
          <w:highlight w:val="none"/>
          <w:lang w:val="en-US" w:eastAsia="zh-CN"/>
        </w:rPr>
        <w:t>本工程范围主要包括</w:t>
      </w:r>
      <w:r>
        <w:rPr>
          <w:rFonts w:hint="eastAsia" w:hAnsi="宋体" w:cs="宋体"/>
          <w:b w:val="0"/>
          <w:color w:val="auto"/>
          <w:sz w:val="24"/>
          <w:szCs w:val="24"/>
          <w:highlight w:val="none"/>
          <w:lang w:val="en-US" w:eastAsia="zh-CN"/>
        </w:rPr>
        <w:t>：</w:t>
      </w:r>
      <w:r>
        <w:rPr>
          <w:rFonts w:hint="eastAsia" w:ascii="Times New Roman" w:hAnsi="Times New Roman" w:cs="Times New Roman"/>
          <w:b w:val="0"/>
          <w:bCs w:val="0"/>
          <w:color w:val="000000"/>
          <w:kern w:val="2"/>
          <w:sz w:val="24"/>
          <w:szCs w:val="24"/>
          <w:lang w:val="en-US" w:eastAsia="zh-CN" w:bidi="ar"/>
        </w:rPr>
        <w:t>智能管控中心控制机房服务器机柜、封闭冷通道、列头柜、列间精密空调、模块化UPS、铅酸蓄电池组、互投输入柜、UPS输出柜、管理系统的设备采购、安装调试及系统集成。同时，支撑“智控”项目落地，作为智控平台展示窗口，完全适配智控平台的可视化展现需求</w:t>
      </w:r>
      <w:r>
        <w:rPr>
          <w:rFonts w:hint="eastAsia" w:ascii="宋体" w:hAnsi="宋体" w:eastAsia="宋体" w:cs="宋体"/>
          <w:b w:val="0"/>
          <w:color w:val="auto"/>
          <w:sz w:val="24"/>
          <w:szCs w:val="24"/>
          <w:highlight w:val="none"/>
          <w:lang w:val="en-US" w:eastAsia="zh-CN"/>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Style w:val="31"/>
          <w:rFonts w:ascii="宋体" w:hAnsi="宋体" w:eastAsia="宋体" w:cs="宋体"/>
          <w:b/>
          <w:color w:val="auto"/>
          <w:sz w:val="24"/>
          <w:szCs w:val="24"/>
          <w:highlight w:val="none"/>
        </w:rPr>
        <w:t>2、质量标准</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按技术规格书内标准</w:t>
      </w:r>
      <w:r>
        <w:rPr>
          <w:rFonts w:ascii="宋体" w:hAnsi="宋体" w:eastAsia="宋体" w:cs="宋体"/>
          <w:b w:val="0"/>
          <w:color w:val="auto"/>
          <w:sz w:val="24"/>
          <w:szCs w:val="24"/>
          <w:highlight w:val="none"/>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Times New Roman" w:eastAsia="宋体" w:cs="Times New Roman"/>
          <w:color w:val="auto"/>
          <w:sz w:val="24"/>
          <w:szCs w:val="24"/>
          <w:highlight w:val="none"/>
          <w:lang w:val="en-US" w:eastAsia="zh-CN" w:bidi="ar-SA"/>
        </w:rPr>
      </w:pPr>
      <w:r>
        <w:rPr>
          <w:rStyle w:val="31"/>
          <w:rFonts w:ascii="宋体" w:hAnsi="宋体" w:eastAsia="宋体" w:cs="宋体"/>
          <w:b/>
          <w:color w:val="auto"/>
          <w:sz w:val="24"/>
          <w:szCs w:val="24"/>
          <w:highlight w:val="none"/>
        </w:rPr>
        <w:t>3、交货地点</w:t>
      </w:r>
      <w:r>
        <w:rPr>
          <w:rFonts w:ascii="宋体" w:hAnsi="宋体" w:eastAsia="宋体" w:cs="宋体"/>
          <w:b w:val="0"/>
          <w:color w:val="auto"/>
          <w:sz w:val="24"/>
          <w:szCs w:val="24"/>
          <w:highlight w:val="none"/>
        </w:rPr>
        <w:t>：</w:t>
      </w:r>
      <w:r>
        <w:rPr>
          <w:rFonts w:hint="eastAsia"/>
          <w:sz w:val="24"/>
          <w:szCs w:val="24"/>
          <w:highlight w:val="none"/>
        </w:rPr>
        <w:t>北京市朝阳区龙德行大厦二层</w:t>
      </w:r>
      <w:r>
        <w:rPr>
          <w:rFonts w:hint="eastAsia" w:ascii="宋体" w:hAnsi="Times New Roman" w:eastAsia="宋体" w:cs="Times New Roman"/>
          <w:color w:val="auto"/>
          <w:sz w:val="24"/>
          <w:szCs w:val="24"/>
          <w:highlight w:val="none"/>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right="400" w:rightChars="200" w:firstLine="480" w:firstLineChars="200"/>
        <w:jc w:val="left"/>
        <w:textAlignment w:val="auto"/>
        <w:rPr>
          <w:rFonts w:hint="default" w:ascii="宋体" w:hAnsi="Times New Roman" w:eastAsia="宋体" w:cs="Times New Roman"/>
          <w:color w:val="auto"/>
          <w:sz w:val="24"/>
          <w:szCs w:val="24"/>
          <w:highlight w:val="none"/>
          <w:lang w:val="en-US" w:eastAsia="zh-CN" w:bidi="ar-SA"/>
        </w:rPr>
      </w:pPr>
      <w:r>
        <w:rPr>
          <w:rStyle w:val="31"/>
          <w:rFonts w:ascii="宋体" w:hAnsi="宋体" w:eastAsia="宋体" w:cs="宋体"/>
          <w:color w:val="auto"/>
          <w:sz w:val="24"/>
          <w:szCs w:val="24"/>
          <w:highlight w:val="none"/>
          <w:lang w:val="en-US" w:eastAsia="zh-CN" w:bidi="ar-SA"/>
        </w:rPr>
        <w:t>4、</w:t>
      </w:r>
      <w:r>
        <w:rPr>
          <w:rStyle w:val="31"/>
          <w:rFonts w:hint="eastAsia" w:ascii="宋体" w:hAnsi="宋体" w:cs="宋体"/>
          <w:color w:val="auto"/>
          <w:sz w:val="24"/>
          <w:szCs w:val="24"/>
          <w:highlight w:val="none"/>
          <w:lang w:val="en-US" w:eastAsia="zh-CN" w:bidi="ar-SA"/>
        </w:rPr>
        <w:t>工期</w:t>
      </w:r>
      <w:r>
        <w:rPr>
          <w:rStyle w:val="31"/>
          <w:rFonts w:ascii="宋体" w:hAnsi="宋体" w:eastAsia="宋体" w:cs="宋体"/>
          <w:color w:val="auto"/>
          <w:sz w:val="24"/>
          <w:szCs w:val="24"/>
          <w:highlight w:val="none"/>
          <w:lang w:val="en-US" w:eastAsia="zh-CN" w:bidi="ar-SA"/>
        </w:rPr>
        <w:t>：</w:t>
      </w:r>
      <w:r>
        <w:rPr>
          <w:rStyle w:val="31"/>
          <w:rFonts w:hint="eastAsia" w:ascii="宋体" w:hAnsi="宋体" w:eastAsia="宋体" w:cs="宋体"/>
          <w:b w:val="0"/>
          <w:bCs/>
          <w:color w:val="auto"/>
          <w:sz w:val="24"/>
          <w:szCs w:val="24"/>
          <w:highlight w:val="none"/>
          <w:lang w:val="en-US" w:eastAsia="zh-CN" w:bidi="ar-SA"/>
        </w:rPr>
        <w:t>竣工日期为2024年</w:t>
      </w:r>
      <w:r>
        <w:rPr>
          <w:rStyle w:val="31"/>
          <w:rFonts w:hint="eastAsia" w:ascii="宋体" w:hAnsi="宋体" w:cs="宋体"/>
          <w:b w:val="0"/>
          <w:bCs/>
          <w:color w:val="auto"/>
          <w:sz w:val="24"/>
          <w:szCs w:val="24"/>
          <w:highlight w:val="none"/>
          <w:lang w:val="en-US" w:eastAsia="zh-CN" w:bidi="ar-SA"/>
        </w:rPr>
        <w:t>6</w:t>
      </w:r>
      <w:r>
        <w:rPr>
          <w:rStyle w:val="31"/>
          <w:rFonts w:hint="eastAsia" w:ascii="宋体" w:hAnsi="宋体" w:eastAsia="宋体" w:cs="宋体"/>
          <w:b w:val="0"/>
          <w:bCs/>
          <w:color w:val="auto"/>
          <w:sz w:val="24"/>
          <w:szCs w:val="24"/>
          <w:highlight w:val="none"/>
          <w:lang w:val="en-US" w:eastAsia="zh-CN" w:bidi="ar-SA"/>
        </w:rPr>
        <w:t>月</w:t>
      </w:r>
      <w:r>
        <w:rPr>
          <w:rStyle w:val="31"/>
          <w:rFonts w:hint="eastAsia" w:ascii="宋体" w:hAnsi="宋体" w:cs="宋体"/>
          <w:b w:val="0"/>
          <w:bCs/>
          <w:color w:val="auto"/>
          <w:sz w:val="24"/>
          <w:szCs w:val="24"/>
          <w:highlight w:val="none"/>
          <w:lang w:val="en-US" w:eastAsia="zh-CN" w:bidi="ar-SA"/>
        </w:rPr>
        <w:t>2</w:t>
      </w:r>
      <w:r>
        <w:rPr>
          <w:rStyle w:val="31"/>
          <w:rFonts w:hint="eastAsia" w:ascii="宋体" w:hAnsi="宋体" w:eastAsia="宋体" w:cs="宋体"/>
          <w:b w:val="0"/>
          <w:bCs/>
          <w:color w:val="auto"/>
          <w:sz w:val="24"/>
          <w:szCs w:val="24"/>
          <w:highlight w:val="none"/>
          <w:lang w:val="en-US" w:eastAsia="zh-CN" w:bidi="ar-SA"/>
        </w:rPr>
        <w:t>0日</w:t>
      </w:r>
      <w:r>
        <w:rPr>
          <w:rFonts w:ascii="宋体" w:hAnsi="宋体" w:eastAsia="宋体" w:cs="宋体"/>
          <w:i w:val="0"/>
          <w:caps w:val="0"/>
          <w:color w:val="auto"/>
          <w:spacing w:val="0"/>
          <w:sz w:val="24"/>
          <w:szCs w:val="24"/>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firstLine="480" w:firstLineChars="200"/>
        <w:jc w:val="left"/>
        <w:textAlignment w:val="auto"/>
        <w:rPr>
          <w:rFonts w:ascii="宋体" w:hAnsi="宋体" w:eastAsia="宋体" w:cs="宋体"/>
          <w:b w:val="0"/>
          <w:color w:val="auto"/>
          <w:sz w:val="24"/>
          <w:szCs w:val="24"/>
          <w:highlight w:val="none"/>
        </w:rPr>
      </w:pPr>
      <w:r>
        <w:rPr>
          <w:rStyle w:val="31"/>
          <w:rFonts w:ascii="宋体" w:hAnsi="宋体" w:eastAsia="宋体" w:cs="宋体"/>
          <w:b/>
          <w:color w:val="auto"/>
          <w:sz w:val="24"/>
          <w:szCs w:val="24"/>
          <w:highlight w:val="none"/>
        </w:rPr>
        <w:t>5、付款方式</w:t>
      </w:r>
      <w:r>
        <w:rPr>
          <w:rFonts w:ascii="宋体" w:hAnsi="宋体" w:eastAsia="宋体" w:cs="宋体"/>
          <w:b w:val="0"/>
          <w:color w:val="auto"/>
          <w:sz w:val="24"/>
          <w:szCs w:val="24"/>
          <w:highlight w:val="none"/>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1合同形式</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设备及材料购置费支付：设备到场验收合格后，乙方提供该分项设备款的100%增值税专用发票后，甲方收到建设方相应款项后支付至该分项设备及材料价款的70%；设备安装调试验收合格后，甲方收到建设方相应款项后支付至设备及材料价款的95%，项目缺陷责任期满后甲方收到建设方相应款项后支付结算总价款的5%质量保证金；</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安装工程费支付：工程进度款按月提报，按季度结付，当期工程进度款按照实际完成工作量进行计量，乙方提供该工程进度款的100%增值税专用发票后，甲方收到建设方相应款项后支付至当期计量工程进度款的70%；项目竣工验收合格后，甲方收到建设方相应款项后支付至结算总价款的95%，项目缺陷责任期满后甲方收到建设方相应款项后支付结算总价款的5%质量保证金。</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2预付款支付</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1）预付款的金额或比例为：设备费总价的30%。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2）预付款支付期限：合同签订后一个月内。 </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3）预付款扣回的方式：预付款的抵扣方式、抵扣比例和抵扣时间安排：预付款从第一次工程进度款开始扣除，扣完为止。</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Style w:val="31"/>
          <w:rFonts w:ascii="宋体" w:hAnsi="宋体" w:eastAsia="宋体" w:cs="宋体"/>
          <w:color w:val="auto"/>
          <w:sz w:val="24"/>
          <w:szCs w:val="24"/>
          <w:highlight w:val="none"/>
          <w:lang w:val="en-US" w:eastAsia="zh-CN" w:bidi="ar-SA"/>
        </w:rPr>
      </w:pPr>
      <w:r>
        <w:rPr>
          <w:rStyle w:val="31"/>
          <w:rFonts w:hint="eastAsia" w:ascii="宋体" w:hAnsi="宋体" w:eastAsia="宋体" w:cs="宋体"/>
          <w:color w:val="auto"/>
          <w:sz w:val="24"/>
          <w:szCs w:val="24"/>
          <w:highlight w:val="none"/>
          <w:lang w:val="en-US" w:eastAsia="zh-CN" w:bidi="ar-SA"/>
        </w:rPr>
        <w:t>6</w:t>
      </w:r>
      <w:r>
        <w:rPr>
          <w:rStyle w:val="31"/>
          <w:rFonts w:ascii="宋体" w:hAnsi="宋体" w:eastAsia="宋体" w:cs="宋体"/>
          <w:color w:val="auto"/>
          <w:sz w:val="24"/>
          <w:szCs w:val="24"/>
          <w:highlight w:val="none"/>
          <w:lang w:val="en-US" w:eastAsia="zh-CN" w:bidi="ar-SA"/>
        </w:rPr>
        <w:t>、供应商资格要求</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lang w:eastAsia="zh-CN"/>
        </w:rPr>
      </w:pPr>
      <w:r>
        <w:rPr>
          <w:rFonts w:hint="default" w:ascii="宋体" w:hAnsi="宋体" w:eastAsia="宋体" w:cs="宋体"/>
          <w:color w:val="auto"/>
          <w:highlight w:val="none"/>
        </w:rPr>
        <w:t>（1）供应商必须是合格的独立法人企业，且具有履行合同能力的增值税一般纳税人，供应商没有处于被责令停业、财产被接管、冻结、破产状态</w:t>
      </w:r>
      <w:r>
        <w:rPr>
          <w:rFonts w:hint="eastAsia" w:hAnsi="宋体" w:cs="宋体"/>
          <w:color w:val="auto"/>
          <w:highlight w:val="none"/>
          <w:lang w:eastAsia="zh-CN"/>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rPr>
      </w:pPr>
      <w:r>
        <w:rPr>
          <w:rFonts w:hint="default"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供应商</w:t>
      </w:r>
      <w:r>
        <w:rPr>
          <w:rFonts w:hint="eastAsia" w:ascii="宋体" w:hAnsi="宋体" w:eastAsia="宋体" w:cs="宋体"/>
          <w:color w:val="auto"/>
          <w:highlight w:val="none"/>
          <w:lang w:val="en-US" w:eastAsia="zh-CN"/>
        </w:rPr>
        <w:t>如为本次投标产品的代理商，需提供</w:t>
      </w:r>
      <w:r>
        <w:rPr>
          <w:rFonts w:hint="eastAsia" w:hAnsi="宋体" w:cs="宋体"/>
          <w:color w:val="auto"/>
          <w:highlight w:val="none"/>
          <w:lang w:val="en-US" w:eastAsia="zh-CN"/>
        </w:rPr>
        <w:t>主要</w:t>
      </w:r>
      <w:r>
        <w:rPr>
          <w:rFonts w:hint="eastAsia" w:ascii="宋体" w:hAnsi="宋体" w:eastAsia="宋体" w:cs="宋体"/>
          <w:color w:val="auto"/>
          <w:highlight w:val="none"/>
          <w:lang w:val="en-US" w:eastAsia="zh-CN"/>
        </w:rPr>
        <w:t>产品制造商的授权证明</w:t>
      </w:r>
      <w:r>
        <w:rPr>
          <w:rFonts w:hint="eastAsia" w:hAnsi="宋体" w:cs="宋体"/>
          <w:color w:val="auto"/>
          <w:highlight w:val="none"/>
          <w:lang w:val="en-US" w:eastAsia="zh-CN"/>
        </w:rPr>
        <w:t>（主要产品含蓄电池）</w:t>
      </w:r>
      <w:r>
        <w:rPr>
          <w:rFonts w:hint="eastAsia" w:ascii="宋体" w:hAnsi="宋体" w:eastAsia="宋体" w:cs="宋体"/>
          <w:color w:val="auto"/>
          <w:highlight w:val="none"/>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lang w:eastAsia="zh-CN"/>
        </w:rPr>
      </w:pPr>
      <w:r>
        <w:rPr>
          <w:rFonts w:hint="default"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default" w:ascii="宋体" w:hAnsi="宋体" w:eastAsia="宋体" w:cs="宋体"/>
          <w:color w:val="auto"/>
          <w:highlight w:val="none"/>
        </w:rPr>
        <w:t>）</w:t>
      </w:r>
      <w:r>
        <w:rPr>
          <w:rFonts w:hint="eastAsia" w:hAnsi="宋体" w:cs="宋体"/>
          <w:color w:val="auto"/>
          <w:highlight w:val="none"/>
          <w:lang w:val="en-US" w:eastAsia="zh-CN"/>
        </w:rPr>
        <w:t>供应方应具有</w:t>
      </w:r>
      <w:r>
        <w:rPr>
          <w:rFonts w:hint="default" w:ascii="宋体" w:hAnsi="宋体" w:eastAsia="宋体" w:cs="宋体"/>
          <w:color w:val="auto"/>
          <w:highlight w:val="none"/>
        </w:rPr>
        <w:t>电子与智能化工程专业承包贰级</w:t>
      </w:r>
      <w:r>
        <w:rPr>
          <w:rFonts w:hint="eastAsia" w:hAnsi="宋体" w:cs="宋体"/>
          <w:color w:val="auto"/>
          <w:highlight w:val="none"/>
          <w:lang w:val="en-US" w:eastAsia="zh-CN"/>
        </w:rPr>
        <w:t>资质</w:t>
      </w:r>
      <w:r>
        <w:rPr>
          <w:rFonts w:hint="eastAsia" w:hAnsi="宋体" w:cs="宋体"/>
          <w:color w:val="auto"/>
          <w:highlight w:val="none"/>
          <w:lang w:eastAsia="zh-CN"/>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lang w:eastAsia="zh-CN"/>
        </w:rPr>
      </w:pPr>
      <w:r>
        <w:rPr>
          <w:rFonts w:hint="default"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default" w:ascii="宋体" w:hAnsi="宋体" w:eastAsia="宋体" w:cs="宋体"/>
          <w:color w:val="auto"/>
          <w:highlight w:val="none"/>
        </w:rPr>
        <w:t>）供应商及所投产品须具有满足本项目的国家</w:t>
      </w:r>
      <w:r>
        <w:rPr>
          <w:rFonts w:hint="default" w:ascii="宋体" w:hAnsi="宋体" w:eastAsia="宋体" w:cs="宋体"/>
          <w:color w:val="auto"/>
          <w:highlight w:val="none"/>
          <w:lang w:val="en-US" w:eastAsia="zh-CN"/>
        </w:rPr>
        <w:t>和地方</w:t>
      </w:r>
      <w:r>
        <w:rPr>
          <w:rFonts w:hint="default" w:ascii="宋体" w:hAnsi="宋体" w:eastAsia="宋体" w:cs="宋体"/>
          <w:color w:val="auto"/>
          <w:highlight w:val="none"/>
        </w:rPr>
        <w:t>强制许可资质</w:t>
      </w:r>
      <w:r>
        <w:rPr>
          <w:rFonts w:hint="eastAsia" w:hAnsi="宋体" w:cs="宋体"/>
          <w:color w:val="auto"/>
          <w:highlight w:val="none"/>
          <w:lang w:eastAsia="zh-CN"/>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eastAsia" w:ascii="宋体" w:hAnsi="宋体" w:eastAsia="宋体" w:cs="宋体"/>
          <w:color w:val="auto"/>
          <w:highlight w:val="none"/>
          <w:lang w:eastAsia="zh-CN"/>
        </w:rPr>
      </w:pPr>
      <w:r>
        <w:rPr>
          <w:rFonts w:hint="default"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default" w:ascii="宋体" w:hAnsi="宋体" w:eastAsia="宋体" w:cs="宋体"/>
          <w:color w:val="auto"/>
          <w:highlight w:val="none"/>
        </w:rPr>
        <w:t>）供应商在信用中国网站（www.creditchina.gov.cn）等渠道未列入失信被执行人</w:t>
      </w:r>
      <w:r>
        <w:rPr>
          <w:rFonts w:hint="eastAsia" w:hAnsi="宋体" w:cs="宋体"/>
          <w:color w:val="auto"/>
          <w:highlight w:val="none"/>
          <w:lang w:eastAsia="zh-CN"/>
        </w:rPr>
        <w:t>。</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default" w:ascii="宋体" w:hAnsi="宋体" w:eastAsia="宋体" w:cs="宋体"/>
          <w:color w:val="auto"/>
          <w:highlight w:val="none"/>
        </w:rPr>
        <w:t>）本项目是否接受联合体报价：不接受联合体报价。</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highlight w:val="none"/>
        </w:rPr>
      </w:pPr>
      <w:r>
        <w:rPr>
          <w:rFonts w:hint="default"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default" w:ascii="宋体" w:hAnsi="宋体" w:eastAsia="宋体" w:cs="宋体"/>
          <w:color w:val="auto"/>
          <w:highlight w:val="none"/>
        </w:rPr>
        <w:t>）单位负责人为同一人或者存在控股、管理关系的不同单位，不得同时对本项目报价。</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Style w:val="31"/>
          <w:rFonts w:hint="eastAsia" w:hAnsi="宋体" w:cs="宋体"/>
          <w:b/>
          <w:color w:val="auto"/>
          <w:sz w:val="24"/>
          <w:szCs w:val="24"/>
          <w:highlight w:val="none"/>
          <w:lang w:val="en-US" w:eastAsia="zh-CN"/>
        </w:rPr>
        <w:t>7</w:t>
      </w:r>
      <w:r>
        <w:rPr>
          <w:rStyle w:val="31"/>
          <w:rFonts w:ascii="宋体" w:hAnsi="宋体" w:eastAsia="宋体" w:cs="宋体"/>
          <w:b/>
          <w:color w:val="auto"/>
          <w:sz w:val="24"/>
          <w:szCs w:val="24"/>
          <w:highlight w:val="none"/>
        </w:rPr>
        <w:t>、联系方式</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Fonts w:ascii="宋体" w:hAnsi="宋体" w:eastAsia="宋体" w:cs="宋体"/>
          <w:b w:val="0"/>
          <w:color w:val="auto"/>
          <w:sz w:val="24"/>
          <w:szCs w:val="24"/>
          <w:highlight w:val="none"/>
        </w:rPr>
        <w:t>采购人：中煤天津设计工程有限责任公司</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ascii="宋体" w:hAnsi="宋体" w:eastAsia="宋体" w:cs="宋体"/>
          <w:color w:val="auto"/>
          <w:sz w:val="24"/>
          <w:szCs w:val="24"/>
          <w:highlight w:val="none"/>
        </w:rPr>
      </w:pPr>
      <w:r>
        <w:rPr>
          <w:rFonts w:ascii="宋体" w:hAnsi="宋体" w:eastAsia="宋体" w:cs="宋体"/>
          <w:b w:val="0"/>
          <w:color w:val="auto"/>
          <w:sz w:val="24"/>
          <w:szCs w:val="24"/>
          <w:highlight w:val="none"/>
        </w:rPr>
        <w:t>地址：天津市红桥区大丰路安顺大厦（西北角水游城）3号楼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left="225" w:firstLine="240" w:firstLineChars="1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项目联系人：</w:t>
      </w:r>
      <w:r>
        <w:rPr>
          <w:rFonts w:hint="eastAsia" w:ascii="宋体" w:hAnsi="宋体" w:cs="宋体"/>
          <w:b w:val="0"/>
          <w:color w:val="auto"/>
          <w:sz w:val="24"/>
          <w:szCs w:val="24"/>
          <w:highlight w:val="none"/>
          <w:lang w:val="en-US" w:eastAsia="zh-CN" w:bidi="ar-SA"/>
        </w:rPr>
        <w:t>王瑞泽</w:t>
      </w:r>
    </w:p>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宋体" w:hAnsi="宋体" w:eastAsia="宋体" w:cs="宋体"/>
          <w:color w:val="auto"/>
          <w:sz w:val="24"/>
          <w:szCs w:val="24"/>
          <w:highlight w:val="none"/>
          <w:lang w:val="en-US" w:eastAsia="zh-CN"/>
        </w:rPr>
      </w:pPr>
      <w:r>
        <w:rPr>
          <w:rFonts w:ascii="宋体" w:hAnsi="宋体" w:eastAsia="宋体" w:cs="宋体"/>
          <w:b w:val="0"/>
          <w:color w:val="auto"/>
          <w:sz w:val="24"/>
          <w:szCs w:val="24"/>
          <w:highlight w:val="none"/>
        </w:rPr>
        <w:t>电  话：</w:t>
      </w:r>
      <w:r>
        <w:rPr>
          <w:rFonts w:hint="eastAsia" w:cs="Times New Roman"/>
          <w:bCs/>
          <w:color w:val="auto"/>
          <w:highlight w:val="none"/>
          <w:lang w:val="en-US" w:eastAsia="zh-CN"/>
        </w:rPr>
        <w:t>13116083223</w:t>
      </w:r>
    </w:p>
    <w:p>
      <w:pPr>
        <w:pStyle w:val="25"/>
        <w:keepNext w:val="0"/>
        <w:keepLines w:val="0"/>
        <w:pageBreakBefore w:val="0"/>
        <w:kinsoku/>
        <w:overflowPunct/>
        <w:topLinePunct w:val="0"/>
        <w:autoSpaceDE/>
        <w:autoSpaceDN/>
        <w:bidi w:val="0"/>
        <w:adjustRightInd/>
        <w:snapToGrid/>
        <w:spacing w:before="0" w:beforeAutospacing="0" w:after="0" w:afterAutospacing="0" w:line="520" w:lineRule="exact"/>
        <w:ind w:firstLine="480" w:firstLineChars="200"/>
        <w:textAlignment w:val="auto"/>
        <w:rPr>
          <w:rFonts w:hAnsi="宋体" w:cs="宋体"/>
          <w:b/>
          <w:bCs/>
          <w:color w:val="auto"/>
          <w:highlight w:val="none"/>
        </w:rPr>
      </w:pPr>
      <w:r>
        <w:rPr>
          <w:rFonts w:hint="eastAsia" w:hAnsi="宋体" w:cs="宋体"/>
          <w:b/>
          <w:bCs/>
          <w:color w:val="auto"/>
          <w:highlight w:val="none"/>
          <w:lang w:val="en-US" w:eastAsia="zh-CN"/>
        </w:rPr>
        <w:t>8</w:t>
      </w:r>
      <w:r>
        <w:rPr>
          <w:rFonts w:hint="eastAsia" w:hAnsi="宋体" w:cs="宋体"/>
          <w:b/>
          <w:bCs/>
          <w:color w:val="auto"/>
          <w:highlight w:val="none"/>
        </w:rPr>
        <w:t>、投标须知</w:t>
      </w:r>
    </w:p>
    <w:p>
      <w:pPr>
        <w:pStyle w:val="25"/>
        <w:keepNext w:val="0"/>
        <w:keepLines w:val="0"/>
        <w:pageBreakBefore w:val="0"/>
        <w:kinsoku/>
        <w:overflowPunct/>
        <w:topLinePunct w:val="0"/>
        <w:autoSpaceDE/>
        <w:autoSpaceDN/>
        <w:bidi w:val="0"/>
        <w:adjustRightInd/>
        <w:snapToGrid/>
        <w:spacing w:before="0" w:beforeAutospacing="0" w:after="0" w:afterAutospacing="0" w:line="520" w:lineRule="exact"/>
        <w:ind w:firstLine="480" w:firstLineChars="200"/>
        <w:textAlignment w:val="auto"/>
        <w:rPr>
          <w:rFonts w:hAnsi="宋体" w:cs="宋体"/>
          <w:color w:val="auto"/>
          <w:highlight w:val="none"/>
        </w:rPr>
      </w:pPr>
      <w:r>
        <w:rPr>
          <w:rFonts w:hint="eastAsia" w:hAnsi="宋体" w:cs="宋体"/>
          <w:color w:val="auto"/>
          <w:highlight w:val="none"/>
        </w:rPr>
        <w:t>请各投标供应商投标时将投标文件扫描件（签字盖章版本）作为附件上传，如未按规定上传投标文件将被视为未响应招标文件。</w:t>
      </w:r>
    </w:p>
    <w:p>
      <w:pPr>
        <w:rPr>
          <w:bCs/>
          <w:color w:val="auto"/>
          <w:highlight w:val="none"/>
        </w:rPr>
      </w:pPr>
      <w:r>
        <w:rPr>
          <w:bCs/>
          <w:color w:val="auto"/>
          <w:highlight w:val="none"/>
        </w:rPr>
        <w:br w:type="page"/>
      </w:r>
    </w:p>
    <w:p>
      <w:pPr>
        <w:pStyle w:val="25"/>
        <w:widowControl w:val="0"/>
        <w:tabs>
          <w:tab w:val="left" w:pos="720"/>
        </w:tabs>
        <w:spacing w:before="0" w:beforeAutospacing="0" w:after="0" w:afterAutospacing="0" w:line="288" w:lineRule="auto"/>
        <w:ind w:left="-2" w:leftChars="-1" w:right="28" w:firstLine="480" w:firstLineChars="200"/>
        <w:jc w:val="both"/>
        <w:rPr>
          <w:bCs/>
          <w:color w:val="auto"/>
          <w:highlight w:val="none"/>
        </w:rPr>
      </w:pPr>
    </w:p>
    <w:p>
      <w:pPr>
        <w:spacing w:line="300" w:lineRule="exact"/>
        <w:ind w:left="306"/>
        <w:jc w:val="center"/>
        <w:outlineLvl w:val="0"/>
        <w:rPr>
          <w:rFonts w:ascii="宋体"/>
          <w:b/>
          <w:color w:val="auto"/>
          <w:kern w:val="2"/>
          <w:sz w:val="30"/>
          <w:szCs w:val="30"/>
          <w:highlight w:val="none"/>
        </w:rPr>
      </w:pPr>
      <w:bookmarkStart w:id="11" w:name="_Toc28419"/>
      <w:bookmarkStart w:id="12" w:name="_Toc3072"/>
      <w:r>
        <w:rPr>
          <w:rFonts w:ascii="宋体"/>
          <w:b/>
          <w:color w:val="auto"/>
          <w:kern w:val="2"/>
          <w:sz w:val="30"/>
          <w:szCs w:val="30"/>
          <w:highlight w:val="none"/>
        </w:rPr>
        <w:t xml:space="preserve">第二章 </w:t>
      </w:r>
      <w:r>
        <w:rPr>
          <w:rFonts w:hint="eastAsia" w:ascii="宋体"/>
          <w:b/>
          <w:color w:val="auto"/>
          <w:kern w:val="2"/>
          <w:sz w:val="30"/>
          <w:szCs w:val="30"/>
          <w:highlight w:val="none"/>
        </w:rPr>
        <w:t>供应商</w:t>
      </w:r>
      <w:r>
        <w:rPr>
          <w:rFonts w:ascii="宋体"/>
          <w:b/>
          <w:color w:val="auto"/>
          <w:kern w:val="2"/>
          <w:sz w:val="30"/>
          <w:szCs w:val="30"/>
          <w:highlight w:val="none"/>
        </w:rPr>
        <w:t>须知</w:t>
      </w:r>
      <w:bookmarkStart w:id="13" w:name="_Toc37576450"/>
      <w:bookmarkStart w:id="14" w:name="_Toc35881739"/>
      <w:bookmarkStart w:id="15" w:name="_Toc34420943"/>
      <w:bookmarkStart w:id="16" w:name="_Toc35882039"/>
      <w:bookmarkStart w:id="17" w:name="_Toc33094715"/>
      <w:bookmarkStart w:id="18" w:name="_Toc34382767"/>
      <w:bookmarkStart w:id="19" w:name="_Toc35883024"/>
      <w:bookmarkStart w:id="20" w:name="_Toc33094937"/>
      <w:bookmarkStart w:id="21" w:name="_Toc37576399"/>
      <w:bookmarkStart w:id="22" w:name="_Toc33084454"/>
      <w:bookmarkStart w:id="23" w:name="_Toc35882139"/>
      <w:bookmarkStart w:id="24" w:name="_Toc33094625"/>
      <w:bookmarkStart w:id="25" w:name="_Toc33084570"/>
      <w:bookmarkStart w:id="26" w:name="_Toc35881603"/>
      <w:bookmarkStart w:id="27" w:name="_Toc40668281"/>
      <w:r>
        <w:rPr>
          <w:rFonts w:ascii="宋体"/>
          <w:b/>
          <w:color w:val="auto"/>
          <w:kern w:val="2"/>
          <w:sz w:val="30"/>
          <w:szCs w:val="30"/>
          <w:highlight w:val="none"/>
        </w:rPr>
        <w:t>及前附表</w:t>
      </w:r>
      <w:bookmarkEnd w:id="2"/>
      <w:bookmarkEnd w:id="3"/>
      <w:bookmarkEnd w:id="4"/>
      <w:bookmarkEnd w:id="5"/>
      <w:bookmarkEnd w:id="6"/>
      <w:bookmarkEnd w:id="7"/>
      <w:bookmarkEnd w:id="8"/>
      <w:bookmarkEnd w:id="9"/>
      <w:bookmarkEnd w:id="11"/>
      <w:bookmarkEnd w:id="12"/>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Pr>
        <w:pStyle w:val="6"/>
        <w:spacing w:line="360" w:lineRule="auto"/>
        <w:jc w:val="center"/>
        <w:rPr>
          <w:color w:val="auto"/>
          <w:sz w:val="30"/>
          <w:szCs w:val="30"/>
          <w:highlight w:val="none"/>
        </w:rPr>
      </w:pPr>
      <w:bookmarkStart w:id="28" w:name="_Toc17216785"/>
      <w:bookmarkStart w:id="29" w:name="_Toc1396_WPSOffice_Level2"/>
      <w:bookmarkStart w:id="30" w:name="_Toc376164238"/>
      <w:bookmarkStart w:id="31" w:name="_Toc191969098"/>
      <w:bookmarkStart w:id="32" w:name="_Toc10122263"/>
      <w:bookmarkStart w:id="33" w:name="_Toc195209739"/>
      <w:bookmarkStart w:id="34" w:name="_Toc67210880"/>
      <w:bookmarkStart w:id="35" w:name="_Toc10184874"/>
      <w:bookmarkStart w:id="36" w:name="_Toc199040649"/>
      <w:bookmarkStart w:id="37" w:name="_Toc7822"/>
      <w:bookmarkStart w:id="38" w:name="_Toc199065442"/>
      <w:bookmarkStart w:id="39" w:name="_Toc199062851"/>
      <w:bookmarkStart w:id="40" w:name="_Toc376793555"/>
      <w:bookmarkStart w:id="41" w:name="_Toc382509454"/>
      <w:bookmarkStart w:id="42" w:name="_Toc376793574"/>
      <w:bookmarkStart w:id="43" w:name="_Toc382505439"/>
      <w:bookmarkStart w:id="44" w:name="_Toc376793710"/>
      <w:r>
        <w:rPr>
          <w:rFonts w:hint="eastAsia"/>
          <w:color w:val="auto"/>
          <w:sz w:val="30"/>
          <w:szCs w:val="30"/>
          <w:highlight w:val="none"/>
        </w:rPr>
        <w:t>供应商</w:t>
      </w:r>
      <w:r>
        <w:rPr>
          <w:color w:val="auto"/>
          <w:sz w:val="30"/>
          <w:szCs w:val="30"/>
          <w:highlight w:val="none"/>
        </w:rPr>
        <w:t>须知前附表</w:t>
      </w:r>
      <w:bookmarkEnd w:id="28"/>
      <w:bookmarkEnd w:id="29"/>
      <w:bookmarkEnd w:id="30"/>
      <w:bookmarkEnd w:id="31"/>
      <w:bookmarkEnd w:id="32"/>
      <w:bookmarkEnd w:id="33"/>
      <w:bookmarkEnd w:id="34"/>
      <w:bookmarkEnd w:id="35"/>
      <w:bookmarkEnd w:id="36"/>
      <w:bookmarkEnd w:id="37"/>
      <w:bookmarkEnd w:id="38"/>
      <w:bookmarkEnd w:id="39"/>
    </w:p>
    <w:tbl>
      <w:tblPr>
        <w:tblStyle w:val="28"/>
        <w:tblW w:w="9560" w:type="dxa"/>
        <w:tblInd w:w="-1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1732"/>
        <w:gridCol w:w="7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tblHeader/>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eastAsia="宋体"/>
                <w:b w:val="0"/>
                <w:bCs/>
                <w:color w:val="auto"/>
                <w:sz w:val="21"/>
                <w:szCs w:val="21"/>
                <w:highlight w:val="none"/>
                <w:lang w:eastAsia="zh-CN"/>
              </w:rPr>
            </w:pPr>
            <w:r>
              <w:rPr>
                <w:rFonts w:hint="eastAsia" w:ascii="宋体"/>
                <w:b w:val="0"/>
                <w:bCs/>
                <w:color w:val="auto"/>
                <w:sz w:val="21"/>
                <w:szCs w:val="21"/>
                <w:highlight w:val="none"/>
                <w:lang w:val="en-US" w:eastAsia="zh-CN"/>
              </w:rPr>
              <w:t>序号</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b w:val="0"/>
                <w:bCs/>
                <w:color w:val="auto"/>
                <w:sz w:val="21"/>
                <w:szCs w:val="21"/>
                <w:highlight w:val="none"/>
              </w:rPr>
            </w:pPr>
            <w:r>
              <w:rPr>
                <w:rFonts w:ascii="宋体"/>
                <w:b w:val="0"/>
                <w:bCs/>
                <w:color w:val="auto"/>
                <w:sz w:val="21"/>
                <w:szCs w:val="21"/>
                <w:highlight w:val="none"/>
              </w:rPr>
              <w:t>内    容</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1180"/>
              </w:tabs>
              <w:kinsoku/>
              <w:wordWrap/>
              <w:overflowPunct/>
              <w:topLinePunct w:val="0"/>
              <w:autoSpaceDE/>
              <w:autoSpaceDN/>
              <w:bidi w:val="0"/>
              <w:adjustRightInd/>
              <w:snapToGrid/>
              <w:spacing w:line="420" w:lineRule="exact"/>
              <w:jc w:val="center"/>
              <w:textAlignment w:val="auto"/>
              <w:rPr>
                <w:rFonts w:ascii="宋体"/>
                <w:b w:val="0"/>
                <w:bCs/>
                <w:color w:val="auto"/>
                <w:sz w:val="21"/>
                <w:szCs w:val="21"/>
                <w:highlight w:val="none"/>
              </w:rPr>
            </w:pPr>
            <w:r>
              <w:rPr>
                <w:rFonts w:ascii="宋体"/>
                <w:b w:val="0"/>
                <w:bCs/>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1</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bCs/>
                <w:color w:val="auto"/>
                <w:sz w:val="21"/>
                <w:szCs w:val="21"/>
                <w:highlight w:val="none"/>
              </w:rPr>
            </w:pPr>
            <w:r>
              <w:rPr>
                <w:rFonts w:hint="eastAsia" w:ascii="宋体"/>
                <w:bCs/>
                <w:color w:val="auto"/>
                <w:sz w:val="21"/>
                <w:szCs w:val="21"/>
                <w:highlight w:val="none"/>
              </w:rPr>
              <w:t>项目名称</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宋体" w:hAnsi="宋体" w:eastAsia="宋体" w:cs="宋体"/>
                <w:color w:val="auto"/>
                <w:sz w:val="21"/>
                <w:szCs w:val="21"/>
                <w:highlight w:val="none"/>
                <w:lang w:val="en-US" w:eastAsia="zh-CN" w:bidi="ar-SA"/>
              </w:rPr>
            </w:pPr>
            <w:r>
              <w:rPr>
                <w:rFonts w:hint="eastAsia" w:ascii="宋体"/>
                <w:bCs/>
                <w:color w:val="auto"/>
                <w:sz w:val="21"/>
                <w:szCs w:val="21"/>
                <w:highlight w:val="none"/>
              </w:rPr>
              <w:t>中国中煤能源集团有限公司智能管控中心改造EPC项目控制机房（集采以外部分）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2</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bCs/>
                <w:color w:val="auto"/>
                <w:sz w:val="21"/>
                <w:szCs w:val="21"/>
                <w:highlight w:val="none"/>
              </w:rPr>
            </w:pPr>
            <w:r>
              <w:rPr>
                <w:rFonts w:hint="eastAsia" w:ascii="宋体"/>
                <w:bCs/>
                <w:color w:val="auto"/>
                <w:sz w:val="21"/>
                <w:szCs w:val="21"/>
                <w:highlight w:val="none"/>
              </w:rPr>
              <w:t>到货地点</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1"/>
                <w:szCs w:val="21"/>
                <w:highlight w:val="none"/>
                <w:lang w:val="en-US" w:eastAsia="zh-CN" w:bidi="ar-SA"/>
              </w:rPr>
            </w:pPr>
            <w:r>
              <w:rPr>
                <w:rFonts w:hint="eastAsia" w:ascii="宋体"/>
                <w:color w:val="auto"/>
                <w:sz w:val="21"/>
                <w:szCs w:val="21"/>
                <w:highlight w:val="none"/>
              </w:rPr>
              <w:t>北京市朝阳区龙德行大厦二层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3</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报价</w:t>
            </w:r>
            <w:r>
              <w:rPr>
                <w:rFonts w:ascii="宋体"/>
                <w:color w:val="auto"/>
                <w:sz w:val="21"/>
                <w:szCs w:val="21"/>
                <w:highlight w:val="none"/>
              </w:rPr>
              <w:t>方式</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ascii="宋体"/>
                <w:color w:val="auto"/>
                <w:sz w:val="21"/>
                <w:szCs w:val="21"/>
                <w:highlight w:val="none"/>
              </w:rPr>
            </w:pPr>
            <w:r>
              <w:rPr>
                <w:rFonts w:hint="eastAsia" w:ascii="宋体"/>
                <w:bCs/>
                <w:color w:val="auto"/>
                <w:sz w:val="21"/>
                <w:szCs w:val="21"/>
                <w:highlight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4</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采购</w:t>
            </w:r>
            <w:r>
              <w:rPr>
                <w:rFonts w:ascii="宋体"/>
                <w:color w:val="auto"/>
                <w:sz w:val="21"/>
                <w:szCs w:val="21"/>
                <w:highlight w:val="none"/>
              </w:rPr>
              <w:t>内容及范围</w:t>
            </w:r>
          </w:p>
        </w:tc>
        <w:tc>
          <w:tcPr>
            <w:tcW w:w="7078"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tabs>
                <w:tab w:val="left" w:pos="720"/>
              </w:tabs>
              <w:kinsoku/>
              <w:wordWrap/>
              <w:overflowPunct/>
              <w:topLinePunct w:val="0"/>
              <w:autoSpaceDE/>
              <w:autoSpaceDN/>
              <w:bidi w:val="0"/>
              <w:adjustRightInd/>
              <w:snapToGrid/>
              <w:spacing w:before="0" w:beforeAutospacing="0" w:after="0" w:afterAutospacing="0" w:line="360" w:lineRule="exact"/>
              <w:ind w:left="-2" w:leftChars="-1" w:right="28"/>
              <w:jc w:val="both"/>
              <w:textAlignment w:val="auto"/>
              <w:rPr>
                <w:bCs/>
                <w:color w:val="auto"/>
                <w:sz w:val="21"/>
                <w:szCs w:val="21"/>
                <w:highlight w:val="none"/>
              </w:rPr>
            </w:pPr>
            <w:r>
              <w:rPr>
                <w:rFonts w:hint="eastAsia"/>
                <w:bCs/>
                <w:color w:val="auto"/>
                <w:sz w:val="21"/>
                <w:szCs w:val="21"/>
                <w:highlight w:val="none"/>
              </w:rPr>
              <w:t>详见采购文件技术规范书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5</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ascii="宋体"/>
                <w:color w:val="auto"/>
                <w:sz w:val="21"/>
                <w:szCs w:val="21"/>
                <w:highlight w:val="none"/>
              </w:rPr>
              <w:t>资金来源</w:t>
            </w:r>
          </w:p>
        </w:tc>
        <w:tc>
          <w:tcPr>
            <w:tcW w:w="707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宋体"/>
                <w:color w:val="auto"/>
                <w:kern w:val="0"/>
                <w:sz w:val="21"/>
                <w:szCs w:val="21"/>
                <w:highlight w:val="none"/>
              </w:rPr>
            </w:pPr>
            <w:r>
              <w:rPr>
                <w:rFonts w:hint="eastAsia" w:ascii="宋体"/>
                <w:color w:val="auto"/>
                <w:kern w:val="0"/>
                <w:sz w:val="21"/>
                <w:szCs w:val="21"/>
                <w:highlight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5"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6</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供应商</w:t>
            </w:r>
            <w:r>
              <w:rPr>
                <w:rFonts w:ascii="宋体"/>
                <w:color w:val="auto"/>
                <w:sz w:val="21"/>
                <w:szCs w:val="21"/>
                <w:highlight w:val="none"/>
              </w:rPr>
              <w:t>资格标准</w:t>
            </w:r>
          </w:p>
        </w:tc>
        <w:tc>
          <w:tcPr>
            <w:tcW w:w="7078"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（1）供应商必须是合格的独立法人企业，且具有履行合同能力的增值税一般纳税人，供应商没有处于被责令停业、财产被接管、冻结、破产状态；</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en-US" w:eastAsia="zh-CN"/>
              </w:rPr>
              <w:t>如为本次投标产品的代理商，需提供主要产品制造商的授权证明（主要产品含蓄电池）</w:t>
            </w:r>
            <w:r>
              <w:rPr>
                <w:rFonts w:hint="eastAsia" w:hAnsi="宋体" w:cs="宋体"/>
                <w:color w:val="auto"/>
                <w:sz w:val="21"/>
                <w:szCs w:val="21"/>
                <w:highlight w:val="none"/>
                <w:lang w:val="en-US" w:eastAsia="zh-CN"/>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供应商应具有</w:t>
            </w:r>
            <w:r>
              <w:rPr>
                <w:rFonts w:hint="default" w:ascii="宋体" w:hAnsi="宋体" w:eastAsia="宋体" w:cs="宋体"/>
                <w:color w:val="auto"/>
                <w:sz w:val="21"/>
                <w:szCs w:val="21"/>
                <w:highlight w:val="none"/>
              </w:rPr>
              <w:t>电子与智能化工程专业承包贰级</w:t>
            </w:r>
            <w:r>
              <w:rPr>
                <w:rFonts w:hint="eastAsia" w:ascii="宋体" w:hAnsi="宋体" w:eastAsia="宋体" w:cs="宋体"/>
                <w:color w:val="auto"/>
                <w:sz w:val="21"/>
                <w:szCs w:val="21"/>
                <w:highlight w:val="none"/>
                <w:lang w:val="en-US" w:eastAsia="zh-CN"/>
              </w:rPr>
              <w:t>资质</w:t>
            </w:r>
            <w:r>
              <w:rPr>
                <w:rFonts w:hint="eastAsia" w:ascii="宋体" w:hAnsi="宋体" w:eastAsia="宋体" w:cs="宋体"/>
                <w:color w:val="auto"/>
                <w:sz w:val="21"/>
                <w:szCs w:val="21"/>
                <w:highlight w:val="none"/>
                <w:lang w:eastAsia="zh-CN"/>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default" w:ascii="宋体" w:hAnsi="宋体" w:eastAsia="宋体" w:cs="宋体"/>
                <w:color w:val="auto"/>
                <w:sz w:val="21"/>
                <w:szCs w:val="21"/>
                <w:highlight w:val="none"/>
              </w:rPr>
              <w:t>）供应商及所投产品须具有满足本项目的国家</w:t>
            </w:r>
            <w:r>
              <w:rPr>
                <w:rFonts w:hint="default" w:ascii="宋体" w:hAnsi="宋体" w:eastAsia="宋体" w:cs="宋体"/>
                <w:color w:val="auto"/>
                <w:sz w:val="21"/>
                <w:szCs w:val="21"/>
                <w:highlight w:val="none"/>
                <w:lang w:val="en-US" w:eastAsia="zh-CN"/>
              </w:rPr>
              <w:t>和地方</w:t>
            </w:r>
            <w:r>
              <w:rPr>
                <w:rFonts w:hint="default" w:ascii="宋体" w:hAnsi="宋体" w:eastAsia="宋体" w:cs="宋体"/>
                <w:color w:val="auto"/>
                <w:sz w:val="21"/>
                <w:szCs w:val="21"/>
                <w:highlight w:val="none"/>
              </w:rPr>
              <w:t>强制许可资质；</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default" w:ascii="宋体" w:hAnsi="宋体" w:eastAsia="宋体" w:cs="宋体"/>
                <w:color w:val="auto"/>
                <w:sz w:val="21"/>
                <w:szCs w:val="21"/>
                <w:highlight w:val="none"/>
              </w:rPr>
              <w:t>）供应商在信用中国网站（www.creditchina.gov.cn）等渠道未列入失信被执行人；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default" w:ascii="宋体" w:hAnsi="宋体" w:eastAsia="宋体" w:cs="宋体"/>
                <w:color w:val="auto"/>
                <w:sz w:val="21"/>
                <w:szCs w:val="21"/>
                <w:highlight w:val="none"/>
              </w:rPr>
              <w:t>）本项目是否接受联合体报价：不接受联合体报价。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default" w:ascii="宋体" w:hAnsi="宋体" w:eastAsia="宋体" w:cs="宋体"/>
                <w:color w:val="auto"/>
                <w:sz w:val="21"/>
                <w:szCs w:val="21"/>
                <w:highlight w:val="none"/>
              </w:rPr>
              <w:t>）单位负责人为同一人或者存在控股、管理关系的不同单位，不得同时对本项目报价。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7</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ascii="宋体"/>
                <w:color w:val="auto"/>
                <w:sz w:val="21"/>
                <w:szCs w:val="21"/>
                <w:highlight w:val="none"/>
              </w:rPr>
              <w:t>资格审查方式</w:t>
            </w:r>
          </w:p>
        </w:tc>
        <w:tc>
          <w:tcPr>
            <w:tcW w:w="707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snapToGrid/>
              <w:spacing w:line="360" w:lineRule="exact"/>
              <w:ind w:left="0"/>
              <w:textAlignment w:val="auto"/>
              <w:rPr>
                <w:rFonts w:ascii="宋体"/>
                <w:color w:val="auto"/>
                <w:kern w:val="0"/>
                <w:sz w:val="21"/>
                <w:szCs w:val="21"/>
                <w:highlight w:val="none"/>
              </w:rPr>
            </w:pPr>
            <w:r>
              <w:rPr>
                <w:rFonts w:ascii="宋体"/>
                <w:color w:val="auto"/>
                <w:kern w:val="0"/>
                <w:sz w:val="21"/>
                <w:szCs w:val="21"/>
                <w:highlight w:val="none"/>
              </w:rPr>
              <w:t>资格</w:t>
            </w:r>
            <w:r>
              <w:rPr>
                <w:rFonts w:hint="eastAsia" w:ascii="宋体"/>
                <w:color w:val="auto"/>
                <w:kern w:val="0"/>
                <w:sz w:val="21"/>
                <w:szCs w:val="21"/>
                <w:highlight w:val="none"/>
              </w:rPr>
              <w:t>后</w:t>
            </w:r>
            <w:r>
              <w:rPr>
                <w:rFonts w:ascii="宋体"/>
                <w:color w:val="auto"/>
                <w:kern w:val="0"/>
                <w:sz w:val="21"/>
                <w:szCs w:val="21"/>
                <w:highlight w:val="none"/>
              </w:rPr>
              <w:t>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8</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采购</w:t>
            </w:r>
            <w:r>
              <w:rPr>
                <w:rFonts w:ascii="宋体"/>
                <w:color w:val="auto"/>
                <w:sz w:val="21"/>
                <w:szCs w:val="21"/>
                <w:highlight w:val="none"/>
              </w:rPr>
              <w:t>有效期</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Chars="-23" w:hanging="39" w:hangingChars="19"/>
              <w:jc w:val="both"/>
              <w:textAlignment w:val="auto"/>
              <w:rPr>
                <w:rFonts w:ascii="宋体"/>
                <w:color w:val="auto"/>
                <w:sz w:val="21"/>
                <w:szCs w:val="21"/>
                <w:highlight w:val="none"/>
              </w:rPr>
            </w:pPr>
            <w:r>
              <w:rPr>
                <w:rFonts w:ascii="宋体"/>
                <w:color w:val="auto"/>
                <w:sz w:val="21"/>
                <w:szCs w:val="21"/>
                <w:highlight w:val="none"/>
              </w:rPr>
              <w:t>自</w:t>
            </w:r>
            <w:r>
              <w:rPr>
                <w:rFonts w:hint="eastAsia" w:ascii="宋体"/>
                <w:color w:val="auto"/>
                <w:sz w:val="21"/>
                <w:szCs w:val="21"/>
                <w:highlight w:val="none"/>
              </w:rPr>
              <w:t>洽谈</w:t>
            </w:r>
            <w:r>
              <w:rPr>
                <w:rFonts w:ascii="宋体"/>
                <w:color w:val="auto"/>
                <w:sz w:val="21"/>
                <w:szCs w:val="21"/>
                <w:highlight w:val="none"/>
              </w:rPr>
              <w:t>之日起</w:t>
            </w:r>
            <w:r>
              <w:rPr>
                <w:rFonts w:hint="eastAsia" w:ascii="宋体"/>
                <w:color w:val="auto"/>
                <w:sz w:val="21"/>
                <w:szCs w:val="21"/>
                <w:highlight w:val="none"/>
              </w:rPr>
              <w:t>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color w:val="auto"/>
                <w:sz w:val="21"/>
                <w:szCs w:val="21"/>
                <w:highlight w:val="none"/>
              </w:rPr>
            </w:pPr>
            <w:r>
              <w:rPr>
                <w:rFonts w:hint="eastAsia" w:ascii="宋体"/>
                <w:color w:val="auto"/>
                <w:sz w:val="21"/>
                <w:szCs w:val="21"/>
                <w:highlight w:val="none"/>
              </w:rPr>
              <w:t>9</w:t>
            </w:r>
          </w:p>
        </w:tc>
        <w:tc>
          <w:tcPr>
            <w:tcW w:w="1732"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kinsoku/>
              <w:wordWrap/>
              <w:overflowPunct/>
              <w:topLinePunct w:val="0"/>
              <w:autoSpaceDE/>
              <w:autoSpaceDN/>
              <w:bidi w:val="0"/>
              <w:adjustRightInd/>
              <w:snapToGrid/>
              <w:spacing w:line="360" w:lineRule="exact"/>
              <w:ind w:left="0"/>
              <w:jc w:val="center"/>
              <w:textAlignment w:val="auto"/>
              <w:rPr>
                <w:rFonts w:ascii="宋体"/>
                <w:color w:val="auto"/>
                <w:kern w:val="0"/>
                <w:sz w:val="21"/>
                <w:szCs w:val="21"/>
                <w:highlight w:val="none"/>
              </w:rPr>
            </w:pPr>
            <w:r>
              <w:rPr>
                <w:rFonts w:ascii="宋体"/>
                <w:color w:val="auto"/>
                <w:kern w:val="0"/>
                <w:sz w:val="21"/>
                <w:szCs w:val="21"/>
                <w:highlight w:val="none"/>
              </w:rPr>
              <w:t>现场勘查</w:t>
            </w:r>
          </w:p>
        </w:tc>
        <w:tc>
          <w:tcPr>
            <w:tcW w:w="7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ascii="宋体"/>
                <w:color w:val="auto"/>
                <w:sz w:val="21"/>
                <w:szCs w:val="21"/>
                <w:highlight w:val="none"/>
              </w:rPr>
            </w:pPr>
            <w:r>
              <w:rPr>
                <w:rFonts w:hint="eastAsia" w:ascii="宋体"/>
                <w:color w:val="auto"/>
                <w:sz w:val="21"/>
                <w:szCs w:val="21"/>
                <w:highlight w:val="none"/>
              </w:rPr>
              <w:t>采购人不安排踏勘。供应商可自行安排，相关一切费用自理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eastAsia="宋体"/>
                <w:color w:val="auto"/>
                <w:sz w:val="21"/>
                <w:szCs w:val="21"/>
                <w:highlight w:val="none"/>
                <w:lang w:val="en-US" w:eastAsia="zh-CN"/>
              </w:rPr>
            </w:pPr>
            <w:r>
              <w:rPr>
                <w:rFonts w:ascii="宋体"/>
                <w:color w:val="auto"/>
                <w:sz w:val="21"/>
                <w:szCs w:val="21"/>
                <w:highlight w:val="none"/>
              </w:rPr>
              <w:t>1</w:t>
            </w:r>
            <w:r>
              <w:rPr>
                <w:rFonts w:hint="eastAsia" w:ascii="宋体"/>
                <w:color w:val="auto"/>
                <w:sz w:val="21"/>
                <w:szCs w:val="21"/>
                <w:highlight w:val="none"/>
                <w:lang w:val="en-US" w:eastAsia="zh-CN"/>
              </w:rPr>
              <w:t>0</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color w:val="auto"/>
                <w:sz w:val="21"/>
                <w:szCs w:val="21"/>
                <w:highlight w:val="none"/>
              </w:rPr>
            </w:pPr>
            <w:r>
              <w:rPr>
                <w:rFonts w:hint="eastAsia" w:ascii="宋体"/>
                <w:color w:val="auto"/>
                <w:sz w:val="21"/>
                <w:szCs w:val="21"/>
                <w:highlight w:val="none"/>
              </w:rPr>
              <w:t>响应</w:t>
            </w:r>
            <w:r>
              <w:rPr>
                <w:rFonts w:ascii="宋体"/>
                <w:color w:val="auto"/>
                <w:sz w:val="21"/>
                <w:szCs w:val="21"/>
                <w:highlight w:val="none"/>
              </w:rPr>
              <w:t>文件份数</w:t>
            </w:r>
            <w:r>
              <w:rPr>
                <w:rFonts w:hint="eastAsia" w:ascii="宋体"/>
                <w:color w:val="auto"/>
                <w:sz w:val="21"/>
                <w:szCs w:val="21"/>
                <w:highlight w:val="none"/>
              </w:rPr>
              <w:t>及封装要求</w:t>
            </w:r>
          </w:p>
        </w:tc>
        <w:tc>
          <w:tcPr>
            <w:tcW w:w="7078"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ascii="宋体"/>
                <w:color w:val="auto"/>
                <w:sz w:val="21"/>
                <w:szCs w:val="21"/>
                <w:highlight w:val="none"/>
              </w:rPr>
            </w:pPr>
            <w:r>
              <w:rPr>
                <w:rFonts w:hint="eastAsia" w:hAnsi="宋体" w:cs="宋体"/>
                <w:color w:val="auto"/>
                <w:sz w:val="21"/>
                <w:szCs w:val="21"/>
                <w:highlight w:val="none"/>
              </w:rPr>
              <w:t>请各投标供应商投标时将投标文件扫描件（签字盖章版本）作为附件上传，如未按规定上传投标文件将被视为未响应招标文件。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eastAsia="宋体"/>
                <w:color w:val="auto"/>
                <w:sz w:val="21"/>
                <w:szCs w:val="21"/>
                <w:highlight w:val="none"/>
                <w:lang w:val="en-US" w:eastAsia="zh-CN"/>
              </w:rPr>
            </w:pPr>
            <w:r>
              <w:rPr>
                <w:rFonts w:hint="eastAsia" w:ascii="宋体"/>
                <w:color w:val="auto"/>
                <w:sz w:val="21"/>
                <w:szCs w:val="21"/>
                <w:highlight w:val="none"/>
              </w:rPr>
              <w:t>1</w:t>
            </w:r>
            <w:r>
              <w:rPr>
                <w:rFonts w:hint="eastAsia" w:ascii="宋体"/>
                <w:color w:val="auto"/>
                <w:sz w:val="21"/>
                <w:szCs w:val="21"/>
                <w:highlight w:val="none"/>
                <w:lang w:val="en-US" w:eastAsia="zh-CN"/>
              </w:rPr>
              <w:t>2</w:t>
            </w:r>
          </w:p>
        </w:tc>
        <w:tc>
          <w:tcPr>
            <w:tcW w:w="1732"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360" w:lineRule="exact"/>
              <w:ind w:firstLine="0"/>
              <w:jc w:val="center"/>
              <w:textAlignment w:val="auto"/>
              <w:rPr>
                <w:rFonts w:ascii="宋体"/>
                <w:color w:val="auto"/>
                <w:kern w:val="0"/>
                <w:sz w:val="21"/>
                <w:szCs w:val="21"/>
                <w:highlight w:val="none"/>
              </w:rPr>
            </w:pPr>
            <w:r>
              <w:rPr>
                <w:rFonts w:hint="eastAsia" w:ascii="宋体"/>
                <w:color w:val="auto"/>
                <w:kern w:val="0"/>
                <w:sz w:val="21"/>
                <w:szCs w:val="21"/>
                <w:highlight w:val="none"/>
              </w:rPr>
              <w:t>成交供应商</w:t>
            </w:r>
          </w:p>
        </w:tc>
        <w:tc>
          <w:tcPr>
            <w:tcW w:w="707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kinsoku/>
              <w:wordWrap/>
              <w:overflowPunct/>
              <w:topLinePunct w:val="0"/>
              <w:autoSpaceDE/>
              <w:autoSpaceDN/>
              <w:bidi w:val="0"/>
              <w:adjustRightInd/>
              <w:snapToGrid/>
              <w:spacing w:line="360" w:lineRule="exact"/>
              <w:ind w:firstLine="0"/>
              <w:textAlignment w:val="auto"/>
              <w:rPr>
                <w:rFonts w:ascii="宋体"/>
                <w:color w:val="auto"/>
                <w:kern w:val="0"/>
                <w:sz w:val="21"/>
                <w:szCs w:val="21"/>
                <w:highlight w:val="none"/>
              </w:rPr>
            </w:pPr>
            <w:r>
              <w:rPr>
                <w:rFonts w:ascii="宋体"/>
                <w:color w:val="auto"/>
                <w:kern w:val="0"/>
                <w:sz w:val="21"/>
                <w:szCs w:val="21"/>
                <w:highlight w:val="none"/>
              </w:rPr>
              <w:t>由</w:t>
            </w:r>
            <w:r>
              <w:rPr>
                <w:rFonts w:hint="eastAsia" w:ascii="宋体"/>
                <w:color w:val="auto"/>
                <w:kern w:val="0"/>
                <w:sz w:val="21"/>
                <w:szCs w:val="21"/>
                <w:highlight w:val="none"/>
              </w:rPr>
              <w:t>采购</w:t>
            </w:r>
            <w:r>
              <w:rPr>
                <w:rFonts w:ascii="宋体"/>
                <w:color w:val="auto"/>
                <w:kern w:val="0"/>
                <w:sz w:val="21"/>
                <w:szCs w:val="21"/>
                <w:highlight w:val="none"/>
              </w:rPr>
              <w:t>人确定</w:t>
            </w:r>
            <w:r>
              <w:rPr>
                <w:rFonts w:hint="eastAsia" w:ascii="宋体"/>
                <w:color w:val="auto"/>
                <w:kern w:val="0"/>
                <w:sz w:val="21"/>
                <w:szCs w:val="21"/>
                <w:highlight w:val="none"/>
              </w:rPr>
              <w:t>成交供应商</w:t>
            </w:r>
            <w:r>
              <w:rPr>
                <w:rFonts w:ascii="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8"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eastAsia="宋体"/>
                <w:color w:val="auto"/>
                <w:sz w:val="21"/>
                <w:szCs w:val="21"/>
                <w:highlight w:val="none"/>
                <w:lang w:val="en-US" w:eastAsia="zh-CN"/>
              </w:rPr>
            </w:pPr>
            <w:r>
              <w:rPr>
                <w:rFonts w:hint="eastAsia" w:ascii="宋体"/>
                <w:color w:val="auto"/>
                <w:sz w:val="21"/>
                <w:szCs w:val="21"/>
                <w:highlight w:val="none"/>
              </w:rPr>
              <w:t>1</w:t>
            </w:r>
            <w:r>
              <w:rPr>
                <w:rFonts w:hint="eastAsia" w:ascii="宋体"/>
                <w:color w:val="auto"/>
                <w:sz w:val="21"/>
                <w:szCs w:val="21"/>
                <w:highlight w:val="none"/>
                <w:lang w:val="en-US" w:eastAsia="zh-CN"/>
              </w:rPr>
              <w:t>3</w:t>
            </w:r>
          </w:p>
        </w:tc>
        <w:tc>
          <w:tcPr>
            <w:tcW w:w="8810" w:type="dxa"/>
            <w:gridSpan w:val="2"/>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tabs>
                <w:tab w:val="left" w:pos="720"/>
              </w:tabs>
              <w:kinsoku/>
              <w:wordWrap/>
              <w:overflowPunct/>
              <w:topLinePunct w:val="0"/>
              <w:autoSpaceDE/>
              <w:autoSpaceDN/>
              <w:bidi w:val="0"/>
              <w:adjustRightInd/>
              <w:snapToGrid/>
              <w:spacing w:before="0" w:beforeAutospacing="0" w:after="0" w:afterAutospacing="0" w:line="360" w:lineRule="exact"/>
              <w:ind w:right="26"/>
              <w:jc w:val="both"/>
              <w:textAlignment w:val="auto"/>
              <w:rPr>
                <w:bCs/>
                <w:color w:val="auto"/>
                <w:sz w:val="21"/>
                <w:szCs w:val="21"/>
                <w:highlight w:val="none"/>
              </w:rPr>
            </w:pPr>
            <w:r>
              <w:rPr>
                <w:rFonts w:hint="eastAsia"/>
                <w:bCs/>
                <w:color w:val="auto"/>
                <w:sz w:val="21"/>
                <w:szCs w:val="21"/>
                <w:highlight w:val="none"/>
              </w:rPr>
              <w:t>采购人：中煤天津设计工程有限责任公司</w:t>
            </w:r>
          </w:p>
          <w:p>
            <w:pPr>
              <w:pStyle w:val="25"/>
              <w:keepNext w:val="0"/>
              <w:keepLines w:val="0"/>
              <w:pageBreakBefore w:val="0"/>
              <w:widowControl/>
              <w:tabs>
                <w:tab w:val="left" w:pos="720"/>
              </w:tabs>
              <w:kinsoku/>
              <w:wordWrap/>
              <w:overflowPunct/>
              <w:topLinePunct w:val="0"/>
              <w:autoSpaceDE/>
              <w:autoSpaceDN/>
              <w:bidi w:val="0"/>
              <w:adjustRightInd/>
              <w:snapToGrid/>
              <w:spacing w:before="0" w:beforeAutospacing="0" w:after="0" w:afterAutospacing="0" w:line="360" w:lineRule="exact"/>
              <w:ind w:right="26"/>
              <w:jc w:val="both"/>
              <w:textAlignment w:val="auto"/>
              <w:rPr>
                <w:bCs/>
                <w:color w:val="auto"/>
                <w:sz w:val="21"/>
                <w:szCs w:val="21"/>
                <w:highlight w:val="none"/>
              </w:rPr>
            </w:pPr>
            <w:r>
              <w:rPr>
                <w:rFonts w:hint="eastAsia"/>
                <w:bCs/>
                <w:color w:val="auto"/>
                <w:sz w:val="21"/>
                <w:szCs w:val="21"/>
                <w:highlight w:val="none"/>
              </w:rPr>
              <w:t>地址：天津市红桥区大丰路安顺大厦（西北角水游城）3号楼</w:t>
            </w:r>
          </w:p>
          <w:p>
            <w:pPr>
              <w:pStyle w:val="25"/>
              <w:keepNext w:val="0"/>
              <w:keepLines w:val="0"/>
              <w:pageBreakBefore w:val="0"/>
              <w:widowControl/>
              <w:tabs>
                <w:tab w:val="left" w:pos="720"/>
              </w:tabs>
              <w:kinsoku/>
              <w:wordWrap/>
              <w:overflowPunct/>
              <w:topLinePunct w:val="0"/>
              <w:autoSpaceDE/>
              <w:autoSpaceDN/>
              <w:bidi w:val="0"/>
              <w:adjustRightInd/>
              <w:snapToGrid/>
              <w:spacing w:before="0" w:beforeAutospacing="0" w:after="0" w:afterAutospacing="0" w:line="360" w:lineRule="exact"/>
              <w:ind w:right="26"/>
              <w:jc w:val="both"/>
              <w:textAlignment w:val="auto"/>
              <w:rPr>
                <w:rFonts w:hint="default"/>
                <w:color w:val="auto"/>
                <w:sz w:val="21"/>
                <w:szCs w:val="21"/>
                <w:highlight w:val="none"/>
                <w:lang w:val="en-US"/>
              </w:rPr>
            </w:pPr>
            <w:r>
              <w:rPr>
                <w:rFonts w:hint="eastAsia" w:hAnsi="Times New Roman" w:cs="Times New Roman"/>
                <w:bCs/>
                <w:color w:val="auto"/>
                <w:sz w:val="21"/>
                <w:szCs w:val="21"/>
                <w:highlight w:val="none"/>
              </w:rPr>
              <w:t>项目联系人：</w:t>
            </w:r>
            <w:r>
              <w:rPr>
                <w:rFonts w:hint="eastAsia" w:cs="Times New Roman"/>
                <w:bCs/>
                <w:color w:val="auto"/>
                <w:sz w:val="21"/>
                <w:szCs w:val="21"/>
                <w:highlight w:val="none"/>
                <w:lang w:val="en-US" w:eastAsia="zh-CN"/>
              </w:rPr>
              <w:t>王瑞泽  13116083223</w:t>
            </w:r>
          </w:p>
        </w:tc>
      </w:tr>
    </w:tbl>
    <w:p>
      <w:pPr>
        <w:pStyle w:val="6"/>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Fonts w:ascii="宋体"/>
          <w:color w:val="auto"/>
          <w:kern w:val="2"/>
          <w:sz w:val="24"/>
          <w:szCs w:val="24"/>
          <w:highlight w:val="none"/>
        </w:rPr>
      </w:pPr>
      <w:r>
        <w:rPr>
          <w:rFonts w:ascii="宋体"/>
          <w:color w:val="auto"/>
          <w:kern w:val="2"/>
          <w:highlight w:val="none"/>
        </w:rPr>
        <w:br w:type="page"/>
      </w:r>
      <w:bookmarkEnd w:id="40"/>
      <w:bookmarkEnd w:id="41"/>
      <w:bookmarkEnd w:id="42"/>
      <w:bookmarkEnd w:id="43"/>
      <w:bookmarkEnd w:id="44"/>
      <w:bookmarkStart w:id="45" w:name="_Toc14424_WPSOffice_Level2"/>
      <w:bookmarkStart w:id="46" w:name="_Toc10122264"/>
      <w:bookmarkStart w:id="47" w:name="_Toc1080"/>
      <w:bookmarkStart w:id="48" w:name="_Toc14771"/>
      <w:bookmarkStart w:id="49" w:name="_Toc10184875"/>
      <w:r>
        <w:rPr>
          <w:rStyle w:val="41"/>
          <w:b/>
          <w:bCs/>
          <w:color w:val="auto"/>
          <w:sz w:val="28"/>
          <w:szCs w:val="28"/>
          <w:highlight w:val="none"/>
        </w:rPr>
        <w:t>一、总则</w:t>
      </w:r>
      <w:bookmarkEnd w:id="45"/>
      <w:bookmarkEnd w:id="46"/>
      <w:bookmarkEnd w:id="47"/>
      <w:bookmarkEnd w:id="48"/>
      <w:bookmarkEnd w:id="49"/>
    </w:p>
    <w:p>
      <w:pPr>
        <w:keepNext w:val="0"/>
        <w:keepLines w:val="0"/>
        <w:pageBreakBefore w:val="0"/>
        <w:widowControl w:val="0"/>
        <w:kinsoku/>
        <w:wordWrap/>
        <w:overflowPunct w:val="0"/>
        <w:topLinePunct w:val="0"/>
        <w:autoSpaceDE/>
        <w:autoSpaceDN/>
        <w:bidi w:val="0"/>
        <w:adjustRightInd/>
        <w:snapToGrid/>
        <w:spacing w:line="420" w:lineRule="exact"/>
        <w:ind w:firstLine="420" w:firstLineChars="200"/>
        <w:textAlignment w:val="auto"/>
        <w:rPr>
          <w:rFonts w:ascii="宋体"/>
          <w:b w:val="0"/>
          <w:bCs w:val="0"/>
          <w:color w:val="auto"/>
          <w:kern w:val="2"/>
          <w:sz w:val="21"/>
          <w:szCs w:val="21"/>
          <w:highlight w:val="none"/>
        </w:rPr>
      </w:pPr>
      <w:r>
        <w:rPr>
          <w:rFonts w:ascii="宋体"/>
          <w:b w:val="0"/>
          <w:bCs w:val="0"/>
          <w:color w:val="auto"/>
          <w:kern w:val="2"/>
          <w:sz w:val="21"/>
          <w:szCs w:val="21"/>
          <w:highlight w:val="none"/>
        </w:rPr>
        <w:t>1、采购说明</w:t>
      </w:r>
    </w:p>
    <w:p>
      <w:pPr>
        <w:pStyle w:val="25"/>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b w:val="0"/>
          <w:bCs w:val="0"/>
          <w:color w:val="auto"/>
          <w:sz w:val="21"/>
          <w:szCs w:val="21"/>
          <w:highlight w:val="none"/>
        </w:rPr>
        <w:t>本</w:t>
      </w:r>
      <w:r>
        <w:rPr>
          <w:rFonts w:hint="eastAsia"/>
          <w:b w:val="0"/>
          <w:bCs w:val="0"/>
          <w:color w:val="auto"/>
          <w:sz w:val="21"/>
          <w:szCs w:val="21"/>
          <w:highlight w:val="none"/>
        </w:rPr>
        <w:t>采购</w:t>
      </w:r>
      <w:r>
        <w:rPr>
          <w:b w:val="0"/>
          <w:bCs w:val="0"/>
          <w:color w:val="auto"/>
          <w:sz w:val="21"/>
          <w:szCs w:val="21"/>
          <w:highlight w:val="none"/>
        </w:rPr>
        <w:t>项目说明见本须知前附表</w:t>
      </w:r>
      <w:r>
        <w:rPr>
          <w:rFonts w:hint="eastAsia"/>
          <w:b w:val="0"/>
          <w:bCs w:val="0"/>
          <w:color w:val="auto"/>
          <w:sz w:val="21"/>
          <w:szCs w:val="21"/>
          <w:highlight w:val="none"/>
        </w:rPr>
        <w:t>。</w:t>
      </w:r>
    </w:p>
    <w:p>
      <w:pPr>
        <w:pStyle w:val="25"/>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kern w:val="2"/>
          <w:sz w:val="21"/>
          <w:szCs w:val="21"/>
          <w:highlight w:val="none"/>
        </w:rPr>
      </w:pPr>
      <w:r>
        <w:rPr>
          <w:b w:val="0"/>
          <w:bCs w:val="0"/>
          <w:color w:val="auto"/>
          <w:kern w:val="2"/>
          <w:sz w:val="21"/>
          <w:szCs w:val="21"/>
          <w:highlight w:val="none"/>
        </w:rPr>
        <w:t>2、资金来源</w:t>
      </w:r>
    </w:p>
    <w:p>
      <w:pPr>
        <w:pStyle w:val="25"/>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b w:val="0"/>
          <w:bCs w:val="0"/>
          <w:color w:val="auto"/>
          <w:sz w:val="21"/>
          <w:szCs w:val="21"/>
          <w:highlight w:val="none"/>
        </w:rPr>
        <w:t>本</w:t>
      </w:r>
      <w:r>
        <w:rPr>
          <w:rFonts w:hint="eastAsia"/>
          <w:b w:val="0"/>
          <w:bCs w:val="0"/>
          <w:color w:val="auto"/>
          <w:sz w:val="21"/>
          <w:szCs w:val="21"/>
          <w:highlight w:val="none"/>
        </w:rPr>
        <w:t>采购</w:t>
      </w:r>
      <w:r>
        <w:rPr>
          <w:b w:val="0"/>
          <w:bCs w:val="0"/>
          <w:color w:val="auto"/>
          <w:sz w:val="21"/>
          <w:szCs w:val="21"/>
          <w:highlight w:val="none"/>
        </w:rPr>
        <w:t>项目的资金来源为</w:t>
      </w:r>
      <w:r>
        <w:rPr>
          <w:rFonts w:hint="eastAsia"/>
          <w:b w:val="0"/>
          <w:bCs w:val="0"/>
          <w:color w:val="auto"/>
          <w:sz w:val="21"/>
          <w:szCs w:val="21"/>
          <w:highlight w:val="none"/>
        </w:rPr>
        <w:t>企业自筹</w:t>
      </w:r>
      <w:r>
        <w:rPr>
          <w:b w:val="0"/>
          <w:bCs w:val="0"/>
          <w:color w:val="auto"/>
          <w:sz w:val="21"/>
          <w:szCs w:val="21"/>
          <w:highlight w:val="none"/>
        </w:rPr>
        <w:t>。</w:t>
      </w:r>
    </w:p>
    <w:p>
      <w:pPr>
        <w:keepNext w:val="0"/>
        <w:keepLines w:val="0"/>
        <w:pageBreakBefore w:val="0"/>
        <w:widowControl w:val="0"/>
        <w:kinsoku/>
        <w:wordWrap/>
        <w:overflowPunct w:val="0"/>
        <w:topLinePunct w:val="0"/>
        <w:autoSpaceDE/>
        <w:autoSpaceDN/>
        <w:bidi w:val="0"/>
        <w:adjustRightInd/>
        <w:snapToGrid/>
        <w:spacing w:line="420" w:lineRule="exact"/>
        <w:ind w:firstLine="420" w:firstLineChars="200"/>
        <w:textAlignment w:val="auto"/>
        <w:rPr>
          <w:rFonts w:ascii="宋体"/>
          <w:b w:val="0"/>
          <w:bCs w:val="0"/>
          <w:color w:val="auto"/>
          <w:kern w:val="2"/>
          <w:sz w:val="21"/>
          <w:szCs w:val="21"/>
          <w:highlight w:val="none"/>
        </w:rPr>
      </w:pPr>
      <w:r>
        <w:rPr>
          <w:rFonts w:ascii="宋体"/>
          <w:b w:val="0"/>
          <w:bCs w:val="0"/>
          <w:color w:val="auto"/>
          <w:kern w:val="2"/>
          <w:sz w:val="21"/>
          <w:szCs w:val="21"/>
          <w:highlight w:val="none"/>
        </w:rPr>
        <w:t>3、资格与合格条件的要求</w:t>
      </w:r>
    </w:p>
    <w:p>
      <w:pPr>
        <w:keepNext w:val="0"/>
        <w:keepLines w:val="0"/>
        <w:pageBreakBefore w:val="0"/>
        <w:widowControl w:val="0"/>
        <w:kinsoku/>
        <w:wordWrap/>
        <w:topLinePunct w:val="0"/>
        <w:autoSpaceDE/>
        <w:autoSpaceDN/>
        <w:bidi w:val="0"/>
        <w:adjustRightInd/>
        <w:snapToGrid/>
        <w:spacing w:line="420" w:lineRule="exact"/>
        <w:ind w:firstLine="420" w:firstLineChars="200"/>
        <w:textAlignment w:val="auto"/>
        <w:rPr>
          <w:rFonts w:ascii="宋体"/>
          <w:b w:val="0"/>
          <w:bCs w:val="0"/>
          <w:color w:val="auto"/>
          <w:sz w:val="21"/>
          <w:szCs w:val="21"/>
          <w:highlight w:val="none"/>
        </w:rPr>
      </w:pPr>
      <w:r>
        <w:rPr>
          <w:rFonts w:hint="eastAsia" w:ascii="宋体"/>
          <w:b w:val="0"/>
          <w:bCs w:val="0"/>
          <w:color w:val="auto"/>
          <w:sz w:val="21"/>
          <w:szCs w:val="21"/>
          <w:highlight w:val="none"/>
        </w:rPr>
        <w:t>供应商</w:t>
      </w:r>
      <w:r>
        <w:rPr>
          <w:rFonts w:ascii="宋体"/>
          <w:b w:val="0"/>
          <w:bCs w:val="0"/>
          <w:color w:val="auto"/>
          <w:sz w:val="21"/>
          <w:szCs w:val="21"/>
          <w:highlight w:val="none"/>
        </w:rPr>
        <w:t>资格标准</w:t>
      </w:r>
      <w:r>
        <w:rPr>
          <w:rFonts w:hint="eastAsia" w:ascii="宋体"/>
          <w:b w:val="0"/>
          <w:bCs w:val="0"/>
          <w:color w:val="auto"/>
          <w:sz w:val="21"/>
          <w:szCs w:val="21"/>
          <w:highlight w:val="none"/>
        </w:rPr>
        <w:t>见供应商</w:t>
      </w:r>
      <w:r>
        <w:rPr>
          <w:rFonts w:ascii="宋体"/>
          <w:b w:val="0"/>
          <w:bCs w:val="0"/>
          <w:color w:val="auto"/>
          <w:sz w:val="21"/>
          <w:szCs w:val="21"/>
          <w:highlight w:val="none"/>
        </w:rPr>
        <w:t>须知前附表</w:t>
      </w:r>
      <w:r>
        <w:rPr>
          <w:rFonts w:hint="eastAsia" w:ascii="宋体"/>
          <w:b w:val="0"/>
          <w:bCs w:val="0"/>
          <w:color w:val="auto"/>
          <w:sz w:val="21"/>
          <w:szCs w:val="21"/>
          <w:highlight w:val="none"/>
        </w:rPr>
        <w:t>。</w:t>
      </w:r>
    </w:p>
    <w:p>
      <w:pPr>
        <w:keepNext w:val="0"/>
        <w:keepLines w:val="0"/>
        <w:pageBreakBefore w:val="0"/>
        <w:widowControl w:val="0"/>
        <w:kinsoku/>
        <w:wordWrap/>
        <w:overflowPunct w:val="0"/>
        <w:topLinePunct w:val="0"/>
        <w:autoSpaceDE/>
        <w:autoSpaceDN/>
        <w:bidi w:val="0"/>
        <w:adjustRightInd/>
        <w:snapToGrid/>
        <w:spacing w:line="420" w:lineRule="exact"/>
        <w:ind w:firstLine="420" w:firstLineChars="200"/>
        <w:textAlignment w:val="auto"/>
        <w:rPr>
          <w:rFonts w:ascii="宋体"/>
          <w:b w:val="0"/>
          <w:bCs w:val="0"/>
          <w:color w:val="auto"/>
          <w:kern w:val="2"/>
          <w:sz w:val="21"/>
          <w:szCs w:val="21"/>
          <w:highlight w:val="none"/>
        </w:rPr>
      </w:pPr>
      <w:r>
        <w:rPr>
          <w:rFonts w:ascii="宋体"/>
          <w:b w:val="0"/>
          <w:bCs w:val="0"/>
          <w:color w:val="auto"/>
          <w:kern w:val="2"/>
          <w:sz w:val="21"/>
          <w:szCs w:val="21"/>
          <w:highlight w:val="none"/>
        </w:rPr>
        <w:t>4、</w:t>
      </w:r>
      <w:r>
        <w:rPr>
          <w:rFonts w:hint="eastAsia" w:ascii="宋体"/>
          <w:b w:val="0"/>
          <w:bCs w:val="0"/>
          <w:color w:val="auto"/>
          <w:kern w:val="2"/>
          <w:sz w:val="21"/>
          <w:szCs w:val="21"/>
          <w:highlight w:val="none"/>
        </w:rPr>
        <w:t>参与洽谈的活动</w:t>
      </w:r>
      <w:r>
        <w:rPr>
          <w:rFonts w:ascii="宋体"/>
          <w:b w:val="0"/>
          <w:bCs w:val="0"/>
          <w:color w:val="auto"/>
          <w:kern w:val="2"/>
          <w:sz w:val="21"/>
          <w:szCs w:val="21"/>
          <w:highlight w:val="none"/>
        </w:rPr>
        <w:t>费用</w:t>
      </w:r>
    </w:p>
    <w:p>
      <w:pPr>
        <w:pStyle w:val="25"/>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rFonts w:hint="eastAsia"/>
          <w:b w:val="0"/>
          <w:bCs w:val="0"/>
          <w:color w:val="auto"/>
          <w:sz w:val="21"/>
          <w:szCs w:val="21"/>
          <w:highlight w:val="none"/>
        </w:rPr>
        <w:t>供应商</w:t>
      </w:r>
      <w:r>
        <w:rPr>
          <w:b w:val="0"/>
          <w:bCs w:val="0"/>
          <w:color w:val="auto"/>
          <w:sz w:val="21"/>
          <w:szCs w:val="21"/>
          <w:highlight w:val="none"/>
        </w:rPr>
        <w:t>应承担编制</w:t>
      </w:r>
      <w:r>
        <w:rPr>
          <w:rFonts w:hint="eastAsia"/>
          <w:b w:val="0"/>
          <w:bCs w:val="0"/>
          <w:color w:val="auto"/>
          <w:sz w:val="21"/>
          <w:szCs w:val="21"/>
          <w:highlight w:val="none"/>
        </w:rPr>
        <w:t>响应</w:t>
      </w:r>
      <w:r>
        <w:rPr>
          <w:b w:val="0"/>
          <w:bCs w:val="0"/>
          <w:color w:val="auto"/>
          <w:sz w:val="21"/>
          <w:szCs w:val="21"/>
          <w:highlight w:val="none"/>
        </w:rPr>
        <w:t>文件与递交</w:t>
      </w:r>
      <w:r>
        <w:rPr>
          <w:rFonts w:hint="eastAsia"/>
          <w:b w:val="0"/>
          <w:bCs w:val="0"/>
          <w:color w:val="auto"/>
          <w:sz w:val="21"/>
          <w:szCs w:val="21"/>
          <w:highlight w:val="none"/>
        </w:rPr>
        <w:t>响应</w:t>
      </w:r>
      <w:r>
        <w:rPr>
          <w:b w:val="0"/>
          <w:bCs w:val="0"/>
          <w:color w:val="auto"/>
          <w:sz w:val="21"/>
          <w:szCs w:val="21"/>
          <w:highlight w:val="none"/>
        </w:rPr>
        <w:t>文件所涉及的一切费用，不管</w:t>
      </w:r>
      <w:r>
        <w:rPr>
          <w:rFonts w:hint="eastAsia"/>
          <w:b w:val="0"/>
          <w:bCs w:val="0"/>
          <w:color w:val="auto"/>
          <w:sz w:val="21"/>
          <w:szCs w:val="21"/>
          <w:highlight w:val="none"/>
        </w:rPr>
        <w:t>洽谈</w:t>
      </w:r>
      <w:r>
        <w:rPr>
          <w:b w:val="0"/>
          <w:bCs w:val="0"/>
          <w:color w:val="auto"/>
          <w:sz w:val="21"/>
          <w:szCs w:val="21"/>
          <w:highlight w:val="none"/>
        </w:rPr>
        <w:t>结果如何，</w:t>
      </w:r>
      <w:r>
        <w:rPr>
          <w:rFonts w:hint="eastAsia"/>
          <w:b w:val="0"/>
          <w:bCs w:val="0"/>
          <w:color w:val="auto"/>
          <w:sz w:val="21"/>
          <w:szCs w:val="21"/>
          <w:highlight w:val="none"/>
        </w:rPr>
        <w:t>采购</w:t>
      </w:r>
      <w:r>
        <w:rPr>
          <w:b w:val="0"/>
          <w:bCs w:val="0"/>
          <w:color w:val="auto"/>
          <w:sz w:val="21"/>
          <w:szCs w:val="21"/>
          <w:highlight w:val="none"/>
        </w:rPr>
        <w:t>人不承担</w:t>
      </w:r>
      <w:r>
        <w:rPr>
          <w:rFonts w:hint="eastAsia"/>
          <w:b w:val="0"/>
          <w:bCs w:val="0"/>
          <w:color w:val="auto"/>
          <w:sz w:val="21"/>
          <w:szCs w:val="21"/>
          <w:highlight w:val="none"/>
        </w:rPr>
        <w:t>供应商</w:t>
      </w:r>
      <w:r>
        <w:rPr>
          <w:b w:val="0"/>
          <w:bCs w:val="0"/>
          <w:color w:val="auto"/>
          <w:sz w:val="21"/>
          <w:szCs w:val="21"/>
          <w:highlight w:val="none"/>
        </w:rPr>
        <w:t>因</w:t>
      </w:r>
      <w:r>
        <w:rPr>
          <w:rFonts w:hint="eastAsia"/>
          <w:b w:val="0"/>
          <w:bCs w:val="0"/>
          <w:color w:val="auto"/>
          <w:sz w:val="21"/>
          <w:szCs w:val="21"/>
          <w:highlight w:val="none"/>
        </w:rPr>
        <w:t>洽谈活动</w:t>
      </w:r>
      <w:r>
        <w:rPr>
          <w:b w:val="0"/>
          <w:bCs w:val="0"/>
          <w:color w:val="auto"/>
          <w:sz w:val="21"/>
          <w:szCs w:val="21"/>
          <w:highlight w:val="none"/>
        </w:rPr>
        <w:t>所发生的一切费用。</w:t>
      </w:r>
    </w:p>
    <w:p>
      <w:pPr>
        <w:pStyle w:val="25"/>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b w:val="0"/>
          <w:bCs w:val="0"/>
          <w:color w:val="auto"/>
          <w:sz w:val="21"/>
          <w:szCs w:val="21"/>
          <w:highlight w:val="none"/>
        </w:rPr>
        <w:t>5、</w:t>
      </w:r>
      <w:r>
        <w:rPr>
          <w:rFonts w:hint="eastAsia"/>
          <w:b w:val="0"/>
          <w:bCs w:val="0"/>
          <w:color w:val="auto"/>
          <w:sz w:val="21"/>
          <w:szCs w:val="21"/>
          <w:highlight w:val="none"/>
        </w:rPr>
        <w:t>采购</w:t>
      </w:r>
      <w:r>
        <w:rPr>
          <w:b w:val="0"/>
          <w:bCs w:val="0"/>
          <w:color w:val="auto"/>
          <w:sz w:val="21"/>
          <w:szCs w:val="21"/>
          <w:highlight w:val="none"/>
        </w:rPr>
        <w:t>人向</w:t>
      </w:r>
      <w:r>
        <w:rPr>
          <w:rFonts w:hint="eastAsia"/>
          <w:b w:val="0"/>
          <w:bCs w:val="0"/>
          <w:color w:val="auto"/>
          <w:sz w:val="21"/>
          <w:szCs w:val="21"/>
          <w:highlight w:val="none"/>
        </w:rPr>
        <w:t>供应商</w:t>
      </w:r>
      <w:r>
        <w:rPr>
          <w:b w:val="0"/>
          <w:bCs w:val="0"/>
          <w:color w:val="auto"/>
          <w:sz w:val="21"/>
          <w:szCs w:val="21"/>
          <w:highlight w:val="none"/>
        </w:rPr>
        <w:t>提供的有关现场的数据和资料，是</w:t>
      </w:r>
      <w:r>
        <w:rPr>
          <w:rFonts w:hint="eastAsia"/>
          <w:b w:val="0"/>
          <w:bCs w:val="0"/>
          <w:color w:val="auto"/>
          <w:sz w:val="21"/>
          <w:szCs w:val="21"/>
          <w:highlight w:val="none"/>
        </w:rPr>
        <w:t>采购</w:t>
      </w:r>
      <w:r>
        <w:rPr>
          <w:b w:val="0"/>
          <w:bCs w:val="0"/>
          <w:color w:val="auto"/>
          <w:sz w:val="21"/>
          <w:szCs w:val="21"/>
          <w:highlight w:val="none"/>
        </w:rPr>
        <w:t>人现有的能被</w:t>
      </w:r>
      <w:r>
        <w:rPr>
          <w:rFonts w:hint="eastAsia"/>
          <w:b w:val="0"/>
          <w:bCs w:val="0"/>
          <w:color w:val="auto"/>
          <w:sz w:val="21"/>
          <w:szCs w:val="21"/>
          <w:highlight w:val="none"/>
        </w:rPr>
        <w:t>供应商</w:t>
      </w:r>
      <w:r>
        <w:rPr>
          <w:b w:val="0"/>
          <w:bCs w:val="0"/>
          <w:color w:val="auto"/>
          <w:sz w:val="21"/>
          <w:szCs w:val="21"/>
          <w:highlight w:val="none"/>
        </w:rPr>
        <w:t>利用的资料，</w:t>
      </w:r>
      <w:r>
        <w:rPr>
          <w:rFonts w:hint="eastAsia"/>
          <w:b w:val="0"/>
          <w:bCs w:val="0"/>
          <w:color w:val="auto"/>
          <w:sz w:val="21"/>
          <w:szCs w:val="21"/>
          <w:highlight w:val="none"/>
        </w:rPr>
        <w:t>采购</w:t>
      </w:r>
      <w:r>
        <w:rPr>
          <w:b w:val="0"/>
          <w:bCs w:val="0"/>
          <w:color w:val="auto"/>
          <w:sz w:val="21"/>
          <w:szCs w:val="21"/>
          <w:highlight w:val="none"/>
        </w:rPr>
        <w:t>人对</w:t>
      </w:r>
      <w:r>
        <w:rPr>
          <w:rFonts w:hint="eastAsia"/>
          <w:b w:val="0"/>
          <w:bCs w:val="0"/>
          <w:color w:val="auto"/>
          <w:sz w:val="21"/>
          <w:szCs w:val="21"/>
          <w:highlight w:val="none"/>
        </w:rPr>
        <w:t>供应商</w:t>
      </w:r>
      <w:r>
        <w:rPr>
          <w:b w:val="0"/>
          <w:bCs w:val="0"/>
          <w:color w:val="auto"/>
          <w:sz w:val="21"/>
          <w:szCs w:val="21"/>
          <w:highlight w:val="none"/>
        </w:rPr>
        <w:t>做出的任何推论、理解和结论概不负责。</w:t>
      </w:r>
    </w:p>
    <w:p>
      <w:pPr>
        <w:pStyle w:val="25"/>
        <w:keepNext w:val="0"/>
        <w:keepLines w:val="0"/>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b w:val="0"/>
          <w:bCs w:val="0"/>
          <w:color w:val="auto"/>
          <w:sz w:val="21"/>
          <w:szCs w:val="21"/>
          <w:highlight w:val="none"/>
        </w:rPr>
      </w:pPr>
      <w:r>
        <w:rPr>
          <w:b w:val="0"/>
          <w:bCs w:val="0"/>
          <w:color w:val="auto"/>
          <w:sz w:val="21"/>
          <w:szCs w:val="21"/>
          <w:highlight w:val="none"/>
        </w:rPr>
        <w:t>6、经</w:t>
      </w:r>
      <w:r>
        <w:rPr>
          <w:rFonts w:hint="eastAsia"/>
          <w:b w:val="0"/>
          <w:bCs w:val="0"/>
          <w:color w:val="auto"/>
          <w:sz w:val="21"/>
          <w:szCs w:val="21"/>
          <w:highlight w:val="none"/>
        </w:rPr>
        <w:t>采购</w:t>
      </w:r>
      <w:r>
        <w:rPr>
          <w:b w:val="0"/>
          <w:bCs w:val="0"/>
          <w:color w:val="auto"/>
          <w:sz w:val="21"/>
          <w:szCs w:val="21"/>
          <w:highlight w:val="none"/>
        </w:rPr>
        <w:t>人同意，</w:t>
      </w:r>
      <w:r>
        <w:rPr>
          <w:rFonts w:hint="eastAsia"/>
          <w:b w:val="0"/>
          <w:bCs w:val="0"/>
          <w:color w:val="auto"/>
          <w:sz w:val="21"/>
          <w:szCs w:val="21"/>
          <w:highlight w:val="none"/>
        </w:rPr>
        <w:t>供应商</w:t>
      </w:r>
      <w:r>
        <w:rPr>
          <w:b w:val="0"/>
          <w:bCs w:val="0"/>
          <w:color w:val="auto"/>
          <w:sz w:val="21"/>
          <w:szCs w:val="21"/>
          <w:highlight w:val="none"/>
        </w:rPr>
        <w:t>因</w:t>
      </w:r>
      <w:r>
        <w:rPr>
          <w:rFonts w:hint="eastAsia"/>
          <w:b w:val="0"/>
          <w:bCs w:val="0"/>
          <w:color w:val="auto"/>
          <w:sz w:val="21"/>
          <w:szCs w:val="21"/>
          <w:highlight w:val="none"/>
        </w:rPr>
        <w:t>洽谈</w:t>
      </w:r>
      <w:r>
        <w:rPr>
          <w:b w:val="0"/>
          <w:bCs w:val="0"/>
          <w:color w:val="auto"/>
          <w:sz w:val="21"/>
          <w:szCs w:val="21"/>
          <w:highlight w:val="none"/>
        </w:rPr>
        <w:t>可进入项目现场进行踏勘，但</w:t>
      </w:r>
      <w:r>
        <w:rPr>
          <w:rFonts w:hint="eastAsia"/>
          <w:b w:val="0"/>
          <w:bCs w:val="0"/>
          <w:color w:val="auto"/>
          <w:sz w:val="21"/>
          <w:szCs w:val="21"/>
          <w:highlight w:val="none"/>
        </w:rPr>
        <w:t>供应商</w:t>
      </w:r>
      <w:r>
        <w:rPr>
          <w:b w:val="0"/>
          <w:bCs w:val="0"/>
          <w:color w:val="auto"/>
          <w:sz w:val="21"/>
          <w:szCs w:val="21"/>
          <w:highlight w:val="none"/>
        </w:rPr>
        <w:t>不得因此使</w:t>
      </w:r>
      <w:r>
        <w:rPr>
          <w:rFonts w:hint="eastAsia"/>
          <w:b w:val="0"/>
          <w:bCs w:val="0"/>
          <w:color w:val="auto"/>
          <w:sz w:val="21"/>
          <w:szCs w:val="21"/>
          <w:highlight w:val="none"/>
        </w:rPr>
        <w:t>采购</w:t>
      </w:r>
      <w:r>
        <w:rPr>
          <w:b w:val="0"/>
          <w:bCs w:val="0"/>
          <w:color w:val="auto"/>
          <w:sz w:val="21"/>
          <w:szCs w:val="21"/>
          <w:highlight w:val="none"/>
        </w:rPr>
        <w:t>人承担有关的责任和蒙受损失。</w:t>
      </w:r>
      <w:r>
        <w:rPr>
          <w:rFonts w:hint="eastAsia"/>
          <w:b w:val="0"/>
          <w:bCs w:val="0"/>
          <w:color w:val="auto"/>
          <w:sz w:val="21"/>
          <w:szCs w:val="21"/>
          <w:highlight w:val="none"/>
        </w:rPr>
        <w:t>供应商</w:t>
      </w:r>
      <w:r>
        <w:rPr>
          <w:b w:val="0"/>
          <w:bCs w:val="0"/>
          <w:color w:val="auto"/>
          <w:sz w:val="21"/>
          <w:szCs w:val="21"/>
          <w:highlight w:val="none"/>
        </w:rPr>
        <w:t>应承担踏勘现场的责任和风险，并自理踏勘所发生的费用。</w:t>
      </w:r>
    </w:p>
    <w:p>
      <w:pPr>
        <w:pStyle w:val="6"/>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Style w:val="41"/>
          <w:b/>
          <w:bCs/>
          <w:color w:val="auto"/>
          <w:sz w:val="28"/>
          <w:szCs w:val="28"/>
          <w:highlight w:val="none"/>
        </w:rPr>
      </w:pPr>
      <w:bookmarkStart w:id="50" w:name="_Toc376793711"/>
      <w:bookmarkStart w:id="51" w:name="_Toc382509455"/>
      <w:bookmarkStart w:id="52" w:name="_Toc28617"/>
      <w:bookmarkStart w:id="53" w:name="_Toc376793556"/>
      <w:bookmarkStart w:id="54" w:name="_Toc376793575"/>
      <w:bookmarkStart w:id="55" w:name="_Toc17259"/>
      <w:bookmarkStart w:id="56" w:name="_Toc16163_WPSOffice_Level2"/>
      <w:bookmarkStart w:id="57" w:name="_Toc10184876"/>
      <w:bookmarkStart w:id="58" w:name="_Toc10122265"/>
      <w:r>
        <w:rPr>
          <w:rStyle w:val="41"/>
          <w:b/>
          <w:bCs/>
          <w:color w:val="auto"/>
          <w:sz w:val="28"/>
          <w:szCs w:val="28"/>
          <w:highlight w:val="none"/>
        </w:rPr>
        <w:t>二、</w:t>
      </w:r>
      <w:r>
        <w:rPr>
          <w:rStyle w:val="41"/>
          <w:rFonts w:hint="eastAsia"/>
          <w:b/>
          <w:bCs/>
          <w:color w:val="auto"/>
          <w:sz w:val="28"/>
          <w:szCs w:val="28"/>
          <w:highlight w:val="none"/>
        </w:rPr>
        <w:t>采购</w:t>
      </w:r>
      <w:r>
        <w:rPr>
          <w:rStyle w:val="41"/>
          <w:b/>
          <w:bCs/>
          <w:color w:val="auto"/>
          <w:sz w:val="28"/>
          <w:szCs w:val="28"/>
          <w:highlight w:val="none"/>
        </w:rPr>
        <w:t>文件</w:t>
      </w:r>
      <w:bookmarkEnd w:id="50"/>
      <w:bookmarkEnd w:id="51"/>
      <w:bookmarkEnd w:id="52"/>
      <w:bookmarkEnd w:id="53"/>
      <w:bookmarkEnd w:id="54"/>
      <w:bookmarkEnd w:id="55"/>
      <w:bookmarkEnd w:id="56"/>
      <w:bookmarkEnd w:id="57"/>
      <w:bookmarkEnd w:id="58"/>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1、采购文件的组成</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本采购文件包括下列内容及所有按本须知发出的补充资料、答疑或补遗记录。</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第一章 采购</w:t>
      </w:r>
      <w:r>
        <w:rPr>
          <w:rFonts w:hint="eastAsia" w:ascii="宋体" w:hAnsi="宋体" w:eastAsia="宋体" w:cs="宋体"/>
          <w:bCs/>
          <w:color w:val="auto"/>
          <w:sz w:val="21"/>
          <w:szCs w:val="21"/>
          <w:highlight w:val="none"/>
          <w:lang w:val="en-US" w:eastAsia="zh-CN"/>
        </w:rPr>
        <w:t>公告</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第二章 供应商须知及前附表</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第三章 合同主要价款</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第四章 技术规格及要求</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第五章 响应文件格式</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供应商获取采购文件后，应认真检查采购文件的所有内容，如有残缺等问题应在获得采购文件1日内向采购人提出，否则，由此引起的损失由供应商自己负责。供应商同时应认真审阅采购文件中所有的供应商须知、合同主要条款、规定格式、技术要求等内容。若供应商没有按照采购文件的要求提交全部资料，责任由供应商自负。</w:t>
      </w:r>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3、采购文件的修改</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3.1</w:t>
      </w:r>
      <w:r>
        <w:rPr>
          <w:rFonts w:hint="eastAsia" w:ascii="宋体" w:hAnsi="宋体" w:eastAsia="宋体" w:cs="宋体"/>
          <w:color w:val="auto"/>
          <w:sz w:val="21"/>
          <w:szCs w:val="21"/>
          <w:highlight w:val="none"/>
        </w:rPr>
        <w:t>采购人可能对采购文件进行</w:t>
      </w:r>
      <w:r>
        <w:rPr>
          <w:rFonts w:hint="eastAsia" w:ascii="宋体" w:hAnsi="宋体" w:eastAsia="宋体" w:cs="宋体"/>
          <w:bCs/>
          <w:color w:val="auto"/>
          <w:sz w:val="21"/>
          <w:szCs w:val="21"/>
          <w:highlight w:val="none"/>
        </w:rPr>
        <w:t>澄清和修改</w:t>
      </w:r>
      <w:r>
        <w:rPr>
          <w:rFonts w:hint="eastAsia" w:ascii="宋体" w:hAnsi="宋体" w:eastAsia="宋体" w:cs="宋体"/>
          <w:color w:val="auto"/>
          <w:sz w:val="21"/>
          <w:szCs w:val="21"/>
          <w:highlight w:val="none"/>
        </w:rPr>
        <w:t>，采购单位会将这些</w:t>
      </w:r>
      <w:r>
        <w:rPr>
          <w:rFonts w:hint="eastAsia" w:ascii="宋体" w:hAnsi="宋体" w:eastAsia="宋体" w:cs="宋体"/>
          <w:bCs/>
          <w:color w:val="auto"/>
          <w:sz w:val="21"/>
          <w:szCs w:val="21"/>
          <w:highlight w:val="none"/>
        </w:rPr>
        <w:t>澄清和修改</w:t>
      </w:r>
      <w:r>
        <w:rPr>
          <w:rFonts w:hint="eastAsia" w:ascii="宋体" w:hAnsi="宋体" w:eastAsia="宋体" w:cs="宋体"/>
          <w:color w:val="auto"/>
          <w:sz w:val="21"/>
          <w:szCs w:val="21"/>
          <w:highlight w:val="none"/>
        </w:rPr>
        <w:t>在与供应商洽谈之前或之中以书面补充方式告知供应商。</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FF0000"/>
          <w:sz w:val="21"/>
          <w:szCs w:val="21"/>
          <w:highlight w:val="none"/>
        </w:rPr>
      </w:pPr>
      <w:r>
        <w:rPr>
          <w:rFonts w:hint="eastAsia" w:ascii="宋体" w:hAnsi="宋体" w:eastAsia="宋体" w:cs="宋体"/>
          <w:bCs/>
          <w:color w:val="auto"/>
          <w:sz w:val="21"/>
          <w:szCs w:val="21"/>
          <w:highlight w:val="none"/>
        </w:rPr>
        <w:t>3.2澄清和修改以</w:t>
      </w:r>
      <w:r>
        <w:rPr>
          <w:rFonts w:hint="eastAsia" w:ascii="宋体" w:hAnsi="宋体" w:eastAsia="宋体" w:cs="宋体"/>
          <w:b/>
          <w:bCs w:val="0"/>
          <w:color w:val="auto"/>
          <w:sz w:val="21"/>
          <w:szCs w:val="21"/>
          <w:highlight w:val="none"/>
        </w:rPr>
        <w:t>书面</w:t>
      </w:r>
      <w:r>
        <w:rPr>
          <w:rFonts w:hint="eastAsia" w:ascii="宋体" w:hAnsi="宋体" w:eastAsia="宋体" w:cs="宋体"/>
          <w:bCs/>
          <w:color w:val="auto"/>
          <w:sz w:val="21"/>
          <w:szCs w:val="21"/>
          <w:highlight w:val="none"/>
        </w:rPr>
        <w:t>补充通知的方式发给供应商。补充通知作为采购文件的组成部分，对供应商起约束作用。</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3.3采购文件的澄清、修改、补充等内容均以</w:t>
      </w:r>
      <w:r>
        <w:rPr>
          <w:rFonts w:hint="eastAsia" w:ascii="宋体" w:hAnsi="宋体" w:eastAsia="宋体" w:cs="宋体"/>
          <w:b/>
          <w:bCs w:val="0"/>
          <w:color w:val="auto"/>
          <w:sz w:val="21"/>
          <w:szCs w:val="21"/>
          <w:highlight w:val="none"/>
        </w:rPr>
        <w:t>书面</w:t>
      </w:r>
      <w:r>
        <w:rPr>
          <w:rFonts w:hint="eastAsia" w:ascii="宋体" w:hAnsi="宋体" w:eastAsia="宋体" w:cs="宋体"/>
          <w:bCs/>
          <w:color w:val="auto"/>
          <w:sz w:val="21"/>
          <w:szCs w:val="21"/>
          <w:highlight w:val="none"/>
        </w:rPr>
        <w:t>的形式明确的内容为准。当采购文件、采购文件的澄清、修改、补充等在同一内容的表述不一致时，以最后发出的</w:t>
      </w:r>
      <w:r>
        <w:rPr>
          <w:rFonts w:hint="eastAsia" w:ascii="宋体" w:hAnsi="宋体" w:eastAsia="宋体" w:cs="宋体"/>
          <w:b/>
          <w:bCs w:val="0"/>
          <w:color w:val="auto"/>
          <w:sz w:val="21"/>
          <w:szCs w:val="21"/>
          <w:highlight w:val="none"/>
        </w:rPr>
        <w:t>书面</w:t>
      </w:r>
      <w:r>
        <w:rPr>
          <w:rFonts w:hint="eastAsia" w:ascii="宋体" w:hAnsi="宋体" w:eastAsia="宋体" w:cs="宋体"/>
          <w:bCs/>
          <w:color w:val="auto"/>
          <w:sz w:val="21"/>
          <w:szCs w:val="21"/>
          <w:highlight w:val="none"/>
        </w:rPr>
        <w:t>文件为准。</w:t>
      </w:r>
    </w:p>
    <w:p>
      <w:pPr>
        <w:pStyle w:val="6"/>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Style w:val="41"/>
          <w:rFonts w:hint="eastAsia"/>
          <w:b/>
          <w:bCs/>
          <w:color w:val="auto"/>
          <w:sz w:val="28"/>
          <w:szCs w:val="28"/>
          <w:highlight w:val="none"/>
        </w:rPr>
      </w:pPr>
      <w:bookmarkStart w:id="59" w:name="_Toc376793557"/>
      <w:bookmarkStart w:id="60" w:name="_Toc10122266"/>
      <w:bookmarkStart w:id="61" w:name="_Toc18914"/>
      <w:bookmarkStart w:id="62" w:name="_Toc10640_WPSOffice_Level2"/>
      <w:bookmarkStart w:id="63" w:name="_Toc376793712"/>
      <w:bookmarkStart w:id="64" w:name="_Toc376793576"/>
      <w:bookmarkStart w:id="65" w:name="_Toc10184877"/>
      <w:bookmarkStart w:id="66" w:name="_Toc7338"/>
      <w:bookmarkStart w:id="67" w:name="_Toc382509456"/>
      <w:r>
        <w:rPr>
          <w:rStyle w:val="41"/>
          <w:rFonts w:hint="eastAsia"/>
          <w:b/>
          <w:bCs/>
          <w:color w:val="auto"/>
          <w:sz w:val="28"/>
          <w:szCs w:val="28"/>
          <w:highlight w:val="none"/>
        </w:rPr>
        <w:t>三、采购响应文件</w:t>
      </w:r>
      <w:bookmarkEnd w:id="59"/>
      <w:bookmarkEnd w:id="60"/>
      <w:bookmarkEnd w:id="61"/>
      <w:bookmarkEnd w:id="62"/>
      <w:bookmarkEnd w:id="63"/>
      <w:bookmarkEnd w:id="64"/>
      <w:bookmarkEnd w:id="65"/>
      <w:bookmarkEnd w:id="66"/>
      <w:bookmarkEnd w:id="67"/>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1、采购响应文件的语言</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1.1响应文件及供应商、采购人之间所有与洽谈有关的来往通知、函件和文件均应使用中文。</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如果供应商在采购响应文件中附有外文资料，必须把这些外文资料翻译成中文。对于关键性的证明文件，供应商应该提供与英文内容相同、且由同一人签署（或盖章）的中文原件，或经国内公证部门公证的中文翻译件。</w:t>
      </w:r>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2、响应文件的组成</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2.1响应文件应该包括</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 按要求填写的报价函、报价一览表、分项报价表；</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 服务方案说明；</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 按要求出具的资格证明文件；</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 按要求提交的保证金（如有要求）；</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 其它需要说明的事项。</w:t>
      </w:r>
    </w:p>
    <w:p>
      <w:pPr>
        <w:pageBreakBefore w:val="0"/>
        <w:widowControl w:val="0"/>
        <w:kinsoku/>
        <w:wordWrap/>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2.2资格证明文件见供应商须知前附表。</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2.3采购响应文件包括</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响应文件分两个部分，第一部分为商务部分，第二部分为技术部分，两部分合并装订成一册。技术部分按照国家有关编制的规定进行封面、章节及内容的编制；供应商所递交的响应书应包括下述文件：</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2.3.1商务部分</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1）洽谈报价函</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2）报价一览表</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）分项报价表</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4）供应商基本情况表</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5）法定代表人身份证明</w:t>
      </w:r>
      <w:r>
        <w:rPr>
          <w:rFonts w:hint="eastAsia" w:ascii="宋体" w:hAnsi="宋体" w:eastAsia="宋体" w:cs="宋体"/>
          <w:bCs/>
          <w:color w:val="auto"/>
          <w:sz w:val="21"/>
          <w:szCs w:val="21"/>
          <w:highlight w:val="none"/>
        </w:rPr>
        <w:tab/>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6）法人授权委托书</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7）供应商资格证明文件</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8）供应商资料真实性承诺书</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成交服务费承诺书</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10)技术部分/商务部分差异表</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11)廉洁承诺书,供需双方廉洁互保协议</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r>
        <w:rPr>
          <w:rFonts w:hint="eastAsia" w:ascii="宋体" w:hAnsi="宋体" w:eastAsia="宋体" w:cs="宋体"/>
          <w:bCs/>
          <w:color w:val="auto"/>
          <w:sz w:val="21"/>
          <w:szCs w:val="21"/>
          <w:highlight w:val="none"/>
          <w:lang w:val="en-US" w:eastAsia="zh-CN"/>
        </w:rPr>
        <w:t>开票信息</w:t>
      </w:r>
      <w:r>
        <w:rPr>
          <w:rFonts w:hint="eastAsia" w:ascii="宋体" w:hAnsi="宋体" w:eastAsia="宋体" w:cs="宋体"/>
          <w:bCs/>
          <w:color w:val="auto"/>
          <w:sz w:val="21"/>
          <w:szCs w:val="21"/>
          <w:highlight w:val="none"/>
        </w:rPr>
        <w:t>表</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认为有必要提供的声明及文件</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2.3.2技术部分</w:t>
      </w:r>
    </w:p>
    <w:p>
      <w:pPr>
        <w:pStyle w:val="25"/>
        <w:pageBreakBefore w:val="0"/>
        <w:widowControl w:val="0"/>
        <w:numPr>
          <w:ilvl w:val="0"/>
          <w:numId w:val="2"/>
        </w:numPr>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服务方案，包括详细的实施方案等。技术部分应满足或者高于技术规格书的要求</w:t>
      </w:r>
    </w:p>
    <w:p>
      <w:pPr>
        <w:pageBreakBefore w:val="0"/>
        <w:widowControl w:val="0"/>
        <w:kinsoku/>
        <w:wordWrap/>
        <w:topLinePunct w:val="0"/>
        <w:autoSpaceDE/>
        <w:autoSpaceDN/>
        <w:bidi w:val="0"/>
        <w:adjustRightInd/>
        <w:snapToGrid/>
        <w:spacing w:beforeAutospacing="0" w:afterAutospacing="0" w:line="42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2) </w:t>
      </w:r>
      <w:r>
        <w:rPr>
          <w:rFonts w:hint="eastAsia" w:ascii="宋体" w:hAnsi="宋体" w:eastAsia="宋体" w:cs="宋体"/>
          <w:color w:val="auto"/>
          <w:sz w:val="21"/>
          <w:szCs w:val="21"/>
          <w:highlight w:val="none"/>
        </w:rPr>
        <w:t>对采购人提出的协作和配合要求</w:t>
      </w:r>
    </w:p>
    <w:p>
      <w:pPr>
        <w:pageBreakBefore w:val="0"/>
        <w:widowControl w:val="0"/>
        <w:kinsoku/>
        <w:wordWrap/>
        <w:topLinePunct w:val="0"/>
        <w:autoSpaceDE/>
        <w:autoSpaceDN/>
        <w:bidi w:val="0"/>
        <w:adjustRightInd/>
        <w:snapToGrid/>
        <w:spacing w:beforeAutospacing="0" w:afterAutospacing="0" w:line="42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3）对服务内容和方式、人员设置等相关问题，做出明确的说明和承诺</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 xml:space="preserve">) </w:t>
      </w:r>
      <w:r>
        <w:rPr>
          <w:rFonts w:hint="eastAsia" w:ascii="宋体" w:hAnsi="宋体" w:eastAsia="宋体" w:cs="宋体"/>
          <w:color w:val="auto"/>
          <w:sz w:val="21"/>
          <w:szCs w:val="21"/>
          <w:highlight w:val="none"/>
        </w:rPr>
        <w:t>认为有必要说明的其它问题。</w:t>
      </w:r>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3、响应文件格式</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供应商按采购文件提供的响应文件格式编写响应文件，对本项目进行报价，不得将内容拆开。 </w:t>
      </w:r>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4、供应商资格证明文件</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供应商资格证明文件是响应文件的组成部分。 </w:t>
      </w:r>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5、采购有效期</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5.1所有响应文件应从洽谈之日起，在90日历日内有效。采购有效期比规定短的可以视为非响应采购文件而予以拒绝。</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5.2在特殊情况下，在原采购有效期期满之前，采购人可征得供应商同意延长采购有效期。这种要求与答复均应为</w:t>
      </w:r>
      <w:r>
        <w:rPr>
          <w:rFonts w:hint="eastAsia" w:ascii="宋体" w:hAnsi="宋体" w:eastAsia="宋体" w:cs="宋体"/>
          <w:b/>
          <w:bCs w:val="0"/>
          <w:color w:val="auto"/>
          <w:sz w:val="21"/>
          <w:szCs w:val="21"/>
          <w:highlight w:val="none"/>
        </w:rPr>
        <w:t>书面</w:t>
      </w:r>
      <w:r>
        <w:rPr>
          <w:rFonts w:hint="eastAsia" w:ascii="宋体" w:hAnsi="宋体" w:eastAsia="宋体" w:cs="宋体"/>
          <w:bCs/>
          <w:color w:val="auto"/>
          <w:sz w:val="21"/>
          <w:szCs w:val="21"/>
          <w:highlight w:val="none"/>
        </w:rPr>
        <w:t>形式如：电传、传真等。供应商可以拒绝采购人的这种要求，其采购响应保证金不会被没收。接受延长采购有效期的供应商将不会被要求和允许修正其响应文件，而只会被要求相应地延长其采购响应保证金的有效期。</w:t>
      </w:r>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6、响应文件的签署及规定</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6.1响应文件应准备一份正本。</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6.2严格按照采购方要求的技术参数和图纸报价</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6.3响应文件正本须打印并由供应商法定代表人或供应商法定代表人委托人签字</w:t>
      </w:r>
      <w:r>
        <w:rPr>
          <w:rFonts w:hint="eastAsia" w:ascii="宋体" w:hAnsi="宋体" w:eastAsia="宋体" w:cs="宋体"/>
          <w:bCs/>
          <w:color w:val="auto"/>
          <w:sz w:val="21"/>
          <w:szCs w:val="21"/>
          <w:highlight w:val="none"/>
          <w:lang w:val="en-US" w:eastAsia="zh-CN"/>
        </w:rPr>
        <w:t>或签章</w:t>
      </w:r>
      <w:r>
        <w:rPr>
          <w:rFonts w:hint="eastAsia" w:ascii="宋体" w:hAnsi="宋体" w:eastAsia="宋体" w:cs="宋体"/>
          <w:bCs/>
          <w:color w:val="auto"/>
          <w:sz w:val="21"/>
          <w:szCs w:val="21"/>
          <w:highlight w:val="none"/>
        </w:rPr>
        <w:t>并加盖单位公章（红章）（副本可复印，副本中企业法人营业执照等资格文件须加盖单位公章（红章））。授权代表须将以书面形式出具的“授权委托书”附在响应文件中。</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提供验收标准和验收方法。</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售后服务、承诺细则。</w:t>
      </w:r>
    </w:p>
    <w:p>
      <w:pPr>
        <w:pStyle w:val="25"/>
        <w:pageBreakBefore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r>
        <w:rPr>
          <w:rFonts w:hint="eastAsia" w:ascii="宋体" w:hAns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rPr>
        <w:t>电报、电话、传真形式的报价概不接受。</w:t>
      </w:r>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lang w:val="en-US" w:eastAsia="zh-CN"/>
        </w:rPr>
        <w:t>7</w:t>
      </w:r>
      <w:r>
        <w:rPr>
          <w:rFonts w:hint="eastAsia" w:ascii="宋体" w:hAnsi="宋体" w:eastAsia="宋体" w:cs="宋体"/>
          <w:b/>
          <w:bCs/>
          <w:color w:val="auto"/>
          <w:kern w:val="2"/>
          <w:sz w:val="21"/>
          <w:szCs w:val="21"/>
          <w:highlight w:val="none"/>
        </w:rPr>
        <w:t>、采购响应文件的递交</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hAnsi="宋体" w:cs="宋体"/>
          <w:bCs/>
          <w:color w:val="auto"/>
          <w:sz w:val="21"/>
          <w:szCs w:val="21"/>
          <w:highlight w:val="none"/>
          <w:lang w:val="en-US" w:eastAsia="zh-CN"/>
        </w:rPr>
      </w:pPr>
      <w:r>
        <w:rPr>
          <w:rFonts w:hint="eastAsia" w:hAnsi="宋体" w:cs="宋体"/>
          <w:bCs/>
          <w:color w:val="auto"/>
          <w:sz w:val="21"/>
          <w:szCs w:val="21"/>
          <w:highlight w:val="none"/>
          <w:lang w:val="en-US" w:eastAsia="zh-CN"/>
        </w:rPr>
        <w:t>7.1请各投标供应商投标时将投标文件扫描件（签字盖章版本）作为附件上传，如未按规定上传投标文件将被视为未响应招标文件。</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7.2 中标单位收到中标 /成交通知书5日内将一份响应文件（纸质版）邮寄至招标人。</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hAnsi="宋体" w:cs="宋体"/>
          <w:bCs/>
          <w:color w:val="auto"/>
          <w:sz w:val="21"/>
          <w:szCs w:val="21"/>
          <w:highlight w:val="none"/>
          <w:lang w:val="en-US" w:eastAsia="zh-CN"/>
        </w:rPr>
      </w:pPr>
      <w:bookmarkStart w:id="68" w:name="_Toc376793577"/>
      <w:bookmarkStart w:id="69" w:name="_Toc382509457"/>
      <w:bookmarkStart w:id="70" w:name="_Toc376793558"/>
      <w:bookmarkStart w:id="71" w:name="_Toc376793713"/>
      <w:bookmarkStart w:id="72" w:name="_Toc5706_WPSOffice_Level2"/>
      <w:bookmarkStart w:id="73" w:name="_Toc27961"/>
      <w:bookmarkStart w:id="74" w:name="_Toc10184878"/>
      <w:bookmarkStart w:id="75" w:name="_Toc10122267"/>
      <w:r>
        <w:rPr>
          <w:rFonts w:hint="eastAsia" w:hAnsi="宋体" w:cs="宋体"/>
          <w:bCs/>
          <w:color w:val="auto"/>
          <w:sz w:val="21"/>
          <w:szCs w:val="21"/>
          <w:highlight w:val="none"/>
          <w:lang w:val="en-US" w:eastAsia="zh-CN"/>
        </w:rPr>
        <w:t>7.3采购响应文件使用双面打印。</w:t>
      </w:r>
    </w:p>
    <w:p>
      <w:pPr>
        <w:pStyle w:val="6"/>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Style w:val="41"/>
          <w:rFonts w:hint="eastAsia"/>
          <w:b/>
          <w:bCs/>
          <w:color w:val="auto"/>
          <w:sz w:val="28"/>
          <w:szCs w:val="28"/>
          <w:highlight w:val="none"/>
        </w:rPr>
      </w:pPr>
      <w:bookmarkStart w:id="76" w:name="_Toc22041"/>
      <w:r>
        <w:rPr>
          <w:rStyle w:val="41"/>
          <w:rFonts w:hint="eastAsia"/>
          <w:b/>
          <w:bCs/>
          <w:color w:val="auto"/>
          <w:sz w:val="28"/>
          <w:szCs w:val="28"/>
          <w:highlight w:val="none"/>
        </w:rPr>
        <w:t>四、采购响应文件的</w:t>
      </w:r>
      <w:bookmarkEnd w:id="68"/>
      <w:bookmarkEnd w:id="69"/>
      <w:bookmarkEnd w:id="70"/>
      <w:bookmarkEnd w:id="71"/>
      <w:r>
        <w:rPr>
          <w:rStyle w:val="41"/>
          <w:rFonts w:hint="eastAsia"/>
          <w:b/>
          <w:bCs/>
          <w:color w:val="auto"/>
          <w:sz w:val="28"/>
          <w:szCs w:val="28"/>
          <w:highlight w:val="none"/>
        </w:rPr>
        <w:t>要求</w:t>
      </w:r>
      <w:bookmarkEnd w:id="72"/>
      <w:bookmarkEnd w:id="73"/>
      <w:bookmarkEnd w:id="74"/>
      <w:bookmarkEnd w:id="75"/>
      <w:bookmarkEnd w:id="76"/>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1、采购响应文件报价</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1.1本项目</w:t>
      </w:r>
      <w:r>
        <w:rPr>
          <w:rFonts w:hint="eastAsia" w:ascii="宋体" w:hAnsi="宋体" w:eastAsia="宋体" w:cs="宋体"/>
          <w:bCs/>
          <w:color w:val="auto"/>
          <w:sz w:val="21"/>
          <w:szCs w:val="21"/>
          <w:highlight w:val="none"/>
          <w:lang w:val="en-US" w:eastAsia="zh-CN"/>
        </w:rPr>
        <w:t>报价为</w:t>
      </w:r>
      <w:r>
        <w:rPr>
          <w:rFonts w:hint="eastAsia" w:ascii="宋体" w:hAnsi="宋体" w:eastAsia="宋体" w:cs="宋体"/>
          <w:bCs/>
          <w:color w:val="auto"/>
          <w:sz w:val="21"/>
          <w:szCs w:val="21"/>
          <w:highlight w:val="none"/>
        </w:rPr>
        <w:t>固定总价（含税）。</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1.2报价为目的地含税价</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需注明税率</w:t>
      </w:r>
      <w:r>
        <w:rPr>
          <w:rFonts w:hint="eastAsia" w:ascii="宋体" w:hAnsi="宋体" w:eastAsia="宋体" w:cs="宋体"/>
          <w:bCs/>
          <w:color w:val="auto"/>
          <w:sz w:val="21"/>
          <w:szCs w:val="21"/>
          <w:highlight w:val="none"/>
        </w:rPr>
        <w:t>。</w:t>
      </w:r>
      <w:r>
        <w:rPr>
          <w:rFonts w:hint="eastAsia" w:ascii="宋体" w:hAnsi="宋体" w:eastAsia="宋体" w:cs="宋体"/>
          <w:b/>
          <w:bCs w:val="0"/>
          <w:color w:val="auto"/>
          <w:sz w:val="21"/>
          <w:szCs w:val="21"/>
          <w:highlight w:val="none"/>
        </w:rPr>
        <w:t>报价应包括原材料、生产加工、检验、包装、保险、管理、运杂、</w:t>
      </w:r>
      <w:r>
        <w:rPr>
          <w:rFonts w:hint="eastAsia" w:ascii="宋体" w:hAnsi="宋体" w:eastAsia="宋体" w:cs="宋体"/>
          <w:b/>
          <w:bCs w:val="0"/>
          <w:color w:val="auto"/>
          <w:sz w:val="21"/>
          <w:szCs w:val="21"/>
          <w:highlight w:val="none"/>
          <w:lang w:val="en-US" w:eastAsia="zh-CN"/>
        </w:rPr>
        <w:t>指导</w:t>
      </w:r>
      <w:r>
        <w:rPr>
          <w:rFonts w:hint="eastAsia" w:ascii="宋体" w:hAnsi="宋体" w:eastAsia="宋体" w:cs="宋体"/>
          <w:b/>
          <w:bCs w:val="0"/>
          <w:color w:val="auto"/>
          <w:sz w:val="21"/>
          <w:szCs w:val="21"/>
          <w:highlight w:val="none"/>
        </w:rPr>
        <w:t>安装、培训等全部费用</w:t>
      </w:r>
      <w:r>
        <w:rPr>
          <w:rFonts w:hint="eastAsia" w:ascii="宋体" w:hAnsi="宋体" w:eastAsia="宋体" w:cs="宋体"/>
          <w:bCs/>
          <w:color w:val="auto"/>
          <w:sz w:val="21"/>
          <w:szCs w:val="21"/>
          <w:highlight w:val="none"/>
        </w:rPr>
        <w:t>。报价表上的价格应按下列方式分开填报:</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1)设备目的地交货价报价；</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)安装、调试、培训等其他服务的费用需列出清单；</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供应商应在谈判响应书中的报价表上标明，拟提供货物的名称、数量、单价和总价。每种货物只允许有一种报价，如果报价中单价与总价有出入，以单价为准。若报价中数字和文字表示的金额之间有差异，则以文字金额为准，并对数字作相应的修正。</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1.4供应商在填报报价时，应认真计算，不应遗留须在合同执行中再行议价和另外支付费用的项目，并在分项价格表中详细列明价格的各组成部分。任何以可调整的价格提交的报价将作为非响应性报价而予以拒绝。</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1.5供应商填写的单价和总价在合同实施期间不因市场变化因素而变动，供应商在计算报价时可考虑一定的风险系数。</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1.6报价以人民币报价。</w:t>
      </w:r>
    </w:p>
    <w:p>
      <w:pPr>
        <w:pStyle w:val="25"/>
        <w:pageBreakBefore w:val="0"/>
        <w:widowControl w:val="0"/>
        <w:numPr>
          <w:ilvl w:val="0"/>
          <w:numId w:val="3"/>
        </w:numPr>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经采购人同意，供应商可到现场踏勘现场以充分了解现场位置、道路、储存空间、装卸限制及任何其他足以影响报价的情况，任何因忽视或误解情况而导致的索赔或工期延长申请将不被批准。</w:t>
      </w:r>
    </w:p>
    <w:p>
      <w:pPr>
        <w:pageBreakBefore w:val="0"/>
        <w:widowControl w:val="0"/>
        <w:kinsoku/>
        <w:wordWrap/>
        <w:overflowPunct w:val="0"/>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3、报价货币</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6"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本项目报价全部采用的币种为人民币。</w:t>
      </w:r>
    </w:p>
    <w:p>
      <w:pPr>
        <w:pStyle w:val="6"/>
        <w:keepNext/>
        <w:keepLines/>
        <w:pageBreakBefore w:val="0"/>
        <w:widowControl w:val="0"/>
        <w:kinsoku/>
        <w:wordWrap/>
        <w:overflowPunct w:val="0"/>
        <w:topLinePunct w:val="0"/>
        <w:autoSpaceDE/>
        <w:autoSpaceDN/>
        <w:bidi w:val="0"/>
        <w:adjustRightInd/>
        <w:snapToGrid/>
        <w:spacing w:before="157" w:beforeLines="50" w:after="157" w:afterLines="50" w:line="420" w:lineRule="exact"/>
        <w:jc w:val="both"/>
        <w:textAlignment w:val="auto"/>
        <w:rPr>
          <w:rStyle w:val="41"/>
          <w:rFonts w:hint="eastAsia"/>
          <w:b/>
          <w:bCs/>
          <w:color w:val="auto"/>
          <w:sz w:val="28"/>
          <w:szCs w:val="28"/>
          <w:highlight w:val="none"/>
        </w:rPr>
      </w:pPr>
      <w:bookmarkStart w:id="77" w:name="_Toc376793714"/>
      <w:bookmarkStart w:id="78" w:name="_Toc376793559"/>
      <w:bookmarkStart w:id="79" w:name="_Toc382509458"/>
      <w:bookmarkStart w:id="80" w:name="_Toc376793578"/>
      <w:bookmarkStart w:id="81" w:name="_Toc4807_WPSOffice_Level2"/>
      <w:bookmarkStart w:id="82" w:name="_Toc10122268"/>
      <w:bookmarkStart w:id="83" w:name="_Toc10184879"/>
      <w:bookmarkStart w:id="84" w:name="_Toc14910"/>
      <w:bookmarkStart w:id="85" w:name="_Toc32056"/>
      <w:r>
        <w:rPr>
          <w:rStyle w:val="41"/>
          <w:rFonts w:hint="eastAsia"/>
          <w:b/>
          <w:bCs/>
          <w:color w:val="auto"/>
          <w:sz w:val="28"/>
          <w:szCs w:val="28"/>
          <w:highlight w:val="none"/>
        </w:rPr>
        <w:t>五、</w:t>
      </w:r>
      <w:bookmarkEnd w:id="77"/>
      <w:bookmarkEnd w:id="78"/>
      <w:bookmarkEnd w:id="79"/>
      <w:bookmarkEnd w:id="80"/>
      <w:r>
        <w:rPr>
          <w:rStyle w:val="41"/>
          <w:rFonts w:hint="eastAsia"/>
          <w:b/>
          <w:bCs/>
          <w:color w:val="auto"/>
          <w:sz w:val="28"/>
          <w:szCs w:val="28"/>
          <w:highlight w:val="none"/>
        </w:rPr>
        <w:t>评审及</w:t>
      </w:r>
      <w:bookmarkEnd w:id="81"/>
      <w:bookmarkEnd w:id="82"/>
      <w:bookmarkEnd w:id="83"/>
      <w:bookmarkEnd w:id="84"/>
      <w:r>
        <w:rPr>
          <w:rStyle w:val="41"/>
          <w:rFonts w:hint="eastAsia"/>
          <w:b/>
          <w:bCs/>
          <w:color w:val="auto"/>
          <w:sz w:val="28"/>
          <w:szCs w:val="28"/>
          <w:highlight w:val="none"/>
        </w:rPr>
        <w:t>谈判</w:t>
      </w:r>
      <w:bookmarkEnd w:id="85"/>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
          <w:bCs/>
          <w:color w:val="auto"/>
          <w:sz w:val="21"/>
          <w:szCs w:val="21"/>
          <w:highlight w:val="none"/>
        </w:rPr>
      </w:pPr>
      <w:bookmarkStart w:id="86" w:name="_Toc382509460"/>
      <w:r>
        <w:rPr>
          <w:rFonts w:hint="eastAsia" w:ascii="宋体" w:hAnsi="宋体" w:eastAsia="宋体" w:cs="宋体"/>
          <w:b/>
          <w:bCs/>
          <w:color w:val="auto"/>
          <w:sz w:val="21"/>
          <w:szCs w:val="21"/>
          <w:highlight w:val="none"/>
        </w:rPr>
        <w:t>1.评审</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采购方将在“供应商须知前附表”规定的时间组织洽谈。供应商应由其法定代表人或授权代表以及专业技术人员参与。</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采购方的洽谈小组由采购人依法依规组建，采购人代表、商务代表及技术人员三名或三名以上单数评审人员组成。</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洽谈开始前，洽谈小组将首先认真审查各供应商之间是否存在相互围串、报价文件造假等其他禁止报价的情形和供应商提交的采购响应文件，了解其与采购文件的要求是否有偏离，包括但不限于以下内容：</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1.4.1  采购响应文件是否存在混装、雷同、报价规律性差异等情形；</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1.4.2 采购响应文件是否照规定的要求进行编制、装订和签署；</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1.4.3 所提交的各种资格证明文件是否满足</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资格要求并真实、完整、合法、有效；</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1.4.4 根据采购文件要求所提出的技术方案是否完整、可行；</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1.4.5 采购响应书对法律、法规和采购文件其他明确要求的符合性。</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 在掌握了供应商采购响应文件的基本情况后，洽谈小组将与供应商进行磋商、谈判。</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2、谈判</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2.1谈判小组按照递交的采购响应性文件应就采购项目的技术要求、市场价格、工程承诺等与供应商进行谈判,</w:t>
      </w:r>
      <w:r>
        <w:rPr>
          <w:rFonts w:hint="eastAsia" w:ascii="宋体" w:hAnsi="宋体" w:eastAsia="宋体" w:cs="宋体"/>
          <w:color w:val="auto"/>
          <w:sz w:val="21"/>
          <w:szCs w:val="21"/>
          <w:highlight w:val="none"/>
        </w:rPr>
        <w:t>并给予所有参加谈判的供应商平等的机会</w:t>
      </w:r>
      <w:r>
        <w:rPr>
          <w:rFonts w:hint="eastAsia" w:ascii="宋体" w:hAnsi="宋体" w:eastAsia="宋体" w:cs="宋体"/>
          <w:bCs/>
          <w:color w:val="auto"/>
          <w:sz w:val="21"/>
          <w:szCs w:val="21"/>
          <w:highlight w:val="none"/>
        </w:rPr>
        <w:t>。在第一轮谈判中，首先会要求供应商就采购响应书中含糊不清、错漏的地方进行澄清，并提出问题，然后与供应商就其价格构成与高低进行谈判。在其后的谈判中，谈判小组将要求供应商就之前提出的问题进行确认，然后报出自己能承受的最终价格，以书面形式确认，并由法定代表人或其授权人签署；</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2.2谈判中，采购方的采购文件如有实质性变动的，谈判小组将以书面形式通知参加谈判的供应商。供应商也可以对自己采购响应文件中的有关技术配置、售后服务和报价等方面的问题进行修改，以符合采购文件的要求；</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2.3谈判小组将依据供应商最终提交的最终确认文件进行认真的审查，如满足采购文件的要求、价格合理，谈判小组将按照评审后</w:t>
      </w:r>
      <w:r>
        <w:rPr>
          <w:rFonts w:hint="eastAsia" w:hAnsi="宋体" w:cs="宋体"/>
          <w:bCs/>
          <w:color w:val="auto"/>
          <w:sz w:val="21"/>
          <w:szCs w:val="21"/>
          <w:highlight w:val="none"/>
          <w:lang w:val="en-US" w:eastAsia="zh-CN"/>
        </w:rPr>
        <w:t>综合得分由高到低顺序</w:t>
      </w:r>
      <w:r>
        <w:rPr>
          <w:rFonts w:hint="eastAsia" w:ascii="宋体" w:hAnsi="宋体" w:eastAsia="宋体" w:cs="宋体"/>
          <w:bCs/>
          <w:color w:val="auto"/>
          <w:sz w:val="21"/>
          <w:szCs w:val="21"/>
          <w:highlight w:val="none"/>
        </w:rPr>
        <w:t>推荐成交候选供应商。否则，重新组织采购或终止采购。</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2.4谈判的任何一方在未征得另一方同意的情况下，不得向第三方透露与谈判有关的一切技术资料、价格或其他信息。</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
          <w:bCs/>
          <w:color w:val="auto"/>
          <w:sz w:val="21"/>
          <w:szCs w:val="21"/>
          <w:highlight w:val="none"/>
        </w:rPr>
      </w:pPr>
      <w:bookmarkStart w:id="87" w:name="_Toc20290"/>
      <w:bookmarkStart w:id="88" w:name="_Toc55664556"/>
      <w:bookmarkStart w:id="89" w:name="_Toc11276"/>
      <w:bookmarkStart w:id="90" w:name="_Toc14265"/>
      <w:r>
        <w:rPr>
          <w:rFonts w:hint="eastAsia" w:ascii="宋体" w:hAnsi="宋体" w:eastAsia="宋体" w:cs="宋体"/>
          <w:b/>
          <w:bCs/>
          <w:color w:val="auto"/>
          <w:sz w:val="21"/>
          <w:szCs w:val="21"/>
          <w:highlight w:val="none"/>
        </w:rPr>
        <w:t>3、评审报告</w:t>
      </w:r>
      <w:bookmarkEnd w:id="87"/>
      <w:bookmarkEnd w:id="88"/>
      <w:bookmarkEnd w:id="89"/>
      <w:bookmarkEnd w:id="90"/>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3.1 洽谈小组完成评审后，应当向采购人提出书面评审报告。</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3.2 评审报告由洽谈小组全体成员签字。对评审结论持有异议的洽谈小组成员可以书面方式阐述其不同意见和理由。洽谈小组成员拒绝在评审报告上签字且不陈述其不同意见和理由的，视为同意评审结论。洽谈小组应当对此作出书面说明并记录在案。</w:t>
      </w:r>
    </w:p>
    <w:p>
      <w:pPr>
        <w:pStyle w:val="25"/>
        <w:pageBreakBefore w:val="0"/>
        <w:widowControl w:val="0"/>
        <w:tabs>
          <w:tab w:val="left" w:pos="720"/>
        </w:tabs>
        <w:kinsoku/>
        <w:wordWrap/>
        <w:topLinePunct w:val="0"/>
        <w:autoSpaceDE/>
        <w:autoSpaceDN/>
        <w:bidi w:val="0"/>
        <w:adjustRightInd/>
        <w:snapToGrid/>
        <w:spacing w:before="0" w:beforeAutospacing="0" w:after="0" w:afterAutospacing="0" w:line="420" w:lineRule="exact"/>
        <w:ind w:left="-2" w:leftChars="-1" w:right="28" w:firstLine="420" w:firstLineChars="200"/>
        <w:jc w:val="both"/>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3.3 洽谈小组向采购人提交书面评审报告后，洽谈小组即告解散。</w:t>
      </w:r>
    </w:p>
    <w:p>
      <w:pPr>
        <w:pageBreakBefore w:val="0"/>
        <w:kinsoku/>
        <w:wordWrap/>
        <w:topLinePunct w:val="0"/>
        <w:autoSpaceDE/>
        <w:autoSpaceDN/>
        <w:bidi w:val="0"/>
        <w:adjustRightInd/>
        <w:snapToGrid/>
        <w:spacing w:beforeAutospacing="0" w:afterAutospacing="0" w:line="420" w:lineRule="exact"/>
        <w:textAlignment w:val="auto"/>
        <w:rPr>
          <w:rFonts w:hint="eastAsia" w:ascii="宋体" w:hAnsi="宋体" w:eastAsia="宋体" w:cs="宋体"/>
          <w:b/>
          <w:bCs/>
          <w:color w:val="auto"/>
          <w:sz w:val="21"/>
          <w:szCs w:val="21"/>
          <w:highlight w:val="none"/>
        </w:rPr>
      </w:pPr>
      <w:bookmarkStart w:id="91" w:name="_Toc24596"/>
      <w:bookmarkStart w:id="92" w:name="_Toc32227"/>
      <w:bookmarkStart w:id="93" w:name="_Toc25834"/>
      <w:bookmarkStart w:id="94" w:name="_Toc55664557"/>
      <w:r>
        <w:rPr>
          <w:rFonts w:hint="eastAsia" w:ascii="宋体" w:hAnsi="宋体" w:eastAsia="宋体" w:cs="宋体"/>
          <w:b/>
          <w:bCs/>
          <w:color w:val="auto"/>
          <w:sz w:val="21"/>
          <w:szCs w:val="21"/>
          <w:highlight w:val="none"/>
        </w:rPr>
        <w:t>4、评分办法</w:t>
      </w:r>
      <w:bookmarkEnd w:id="91"/>
      <w:bookmarkEnd w:id="92"/>
      <w:bookmarkEnd w:id="93"/>
      <w:bookmarkEnd w:id="94"/>
    </w:p>
    <w:p>
      <w:pPr>
        <w:pageBreakBefore w:val="0"/>
        <w:kinsoku/>
        <w:wordWrap/>
        <w:topLinePunct w:val="0"/>
        <w:autoSpaceDE/>
        <w:autoSpaceDN/>
        <w:bidi w:val="0"/>
        <w:adjustRightInd/>
        <w:snapToGrid/>
        <w:spacing w:beforeAutospacing="0" w:afterAutospacing="0" w:line="420" w:lineRule="exact"/>
        <w:ind w:firstLine="420" w:firstLineChars="200"/>
        <w:textAlignment w:val="auto"/>
        <w:rPr>
          <w:rFonts w:hint="eastAsia" w:ascii="宋体" w:hAnsi="宋体" w:eastAsia="宋体" w:cs="宋体"/>
          <w:color w:val="auto"/>
          <w:sz w:val="21"/>
          <w:szCs w:val="21"/>
          <w:highlight w:val="none"/>
        </w:rPr>
      </w:pPr>
      <w:r>
        <w:rPr>
          <w:rStyle w:val="42"/>
          <w:rFonts w:hint="eastAsia" w:ascii="宋体" w:hAnsi="宋体" w:eastAsia="宋体" w:cs="宋体"/>
          <w:color w:val="auto"/>
          <w:sz w:val="21"/>
          <w:szCs w:val="21"/>
          <w:highlight w:val="none"/>
        </w:rPr>
        <w:t>本次谈判采用综合评审法，只对有效的且进行实质性响应的文件进行评分，对响应文件提出的货物质量和技术性能、产品业绩、交货期及保证措施、质量保证和售后服务、企业信誉及综合实力、产品报价等逐项进行打分，满分为100分，最后综合各评委的打分情况，根据得分由高向低推荐出成交候选人排序。供应商必须保证响应文件中的内容真实有效，否则其响应将被拒绝。</w:t>
      </w:r>
    </w:p>
    <w:p>
      <w:pPr>
        <w:spacing w:line="360" w:lineRule="auto"/>
        <w:ind w:firstLine="400" w:firstLineChars="200"/>
        <w:jc w:val="left"/>
        <w:rPr>
          <w:rFonts w:hint="eastAsia" w:ascii="宋体" w:hAnsi="宋体"/>
          <w:color w:val="auto"/>
          <w:szCs w:val="21"/>
          <w:highlight w:val="none"/>
        </w:rPr>
      </w:pPr>
    </w:p>
    <w:p>
      <w:pPr>
        <w:spacing w:line="360" w:lineRule="auto"/>
        <w:ind w:firstLine="400" w:firstLineChars="200"/>
        <w:jc w:val="left"/>
        <w:rPr>
          <w:rFonts w:hint="eastAsia" w:ascii="宋体" w:hAnsi="宋体"/>
          <w:color w:val="auto"/>
          <w:szCs w:val="21"/>
          <w:highlight w:val="none"/>
        </w:rPr>
      </w:pPr>
    </w:p>
    <w:p>
      <w:pPr>
        <w:spacing w:line="360" w:lineRule="auto"/>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评分细则（合计100分）：</w:t>
      </w:r>
    </w:p>
    <w:tbl>
      <w:tblPr>
        <w:tblStyle w:val="28"/>
        <w:tblW w:w="9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9"/>
        <w:gridCol w:w="620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817" w:type="dxa"/>
            <w:vAlign w:val="center"/>
          </w:tcPr>
          <w:p>
            <w:pPr>
              <w:keepNext w:val="0"/>
              <w:keepLines w:val="0"/>
              <w:pageBreakBefore w:val="0"/>
              <w:kinsoku/>
              <w:wordWrap/>
              <w:overflowPunct/>
              <w:topLinePunct w:val="0"/>
              <w:autoSpaceDE/>
              <w:autoSpaceDN/>
              <w:bidi w:val="0"/>
              <w:snapToGrid/>
              <w:spacing w:line="42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序号</w:t>
            </w:r>
          </w:p>
        </w:tc>
        <w:tc>
          <w:tcPr>
            <w:tcW w:w="7348" w:type="dxa"/>
            <w:gridSpan w:val="2"/>
            <w:vAlign w:val="center"/>
          </w:tcPr>
          <w:p>
            <w:pPr>
              <w:pStyle w:val="43"/>
              <w:keepNext w:val="0"/>
              <w:keepLines w:val="0"/>
              <w:pageBreakBefore w:val="0"/>
              <w:widowControl w:val="0"/>
              <w:kinsoku/>
              <w:wordWrap/>
              <w:overflowPunct/>
              <w:topLinePunct w:val="0"/>
              <w:autoSpaceDE/>
              <w:autoSpaceDN/>
              <w:bidi w:val="0"/>
              <w:snapToGrid/>
              <w:spacing w:line="420" w:lineRule="exact"/>
              <w:jc w:val="center"/>
              <w:rPr>
                <w:rFonts w:hint="eastAsia" w:ascii="宋体" w:hAnsi="宋体" w:eastAsia="宋体" w:cs="宋体"/>
                <w:b w:val="0"/>
                <w:bCs/>
                <w:snapToGrid/>
                <w:color w:val="auto"/>
                <w:spacing w:val="0"/>
                <w:w w:val="100"/>
                <w:kern w:val="2"/>
                <w:sz w:val="21"/>
                <w:szCs w:val="21"/>
                <w:highlight w:val="none"/>
              </w:rPr>
            </w:pPr>
            <w:r>
              <w:rPr>
                <w:rFonts w:hint="eastAsia" w:ascii="宋体" w:hAnsi="宋体" w:eastAsia="宋体" w:cs="宋体"/>
                <w:b w:val="0"/>
                <w:bCs/>
                <w:snapToGrid/>
                <w:color w:val="auto"/>
                <w:spacing w:val="0"/>
                <w:w w:val="100"/>
                <w:kern w:val="2"/>
                <w:sz w:val="21"/>
                <w:szCs w:val="21"/>
                <w:highlight w:val="none"/>
              </w:rPr>
              <w:t>评分标准</w:t>
            </w:r>
          </w:p>
        </w:tc>
        <w:tc>
          <w:tcPr>
            <w:tcW w:w="844" w:type="dxa"/>
            <w:vAlign w:val="center"/>
          </w:tcPr>
          <w:p>
            <w:pPr>
              <w:pStyle w:val="43"/>
              <w:keepNext w:val="0"/>
              <w:keepLines w:val="0"/>
              <w:pageBreakBefore w:val="0"/>
              <w:widowControl w:val="0"/>
              <w:kinsoku/>
              <w:wordWrap/>
              <w:overflowPunct/>
              <w:topLinePunct w:val="0"/>
              <w:autoSpaceDE/>
              <w:autoSpaceDN/>
              <w:bidi w:val="0"/>
              <w:snapToGrid/>
              <w:spacing w:line="420" w:lineRule="exact"/>
              <w:jc w:val="center"/>
              <w:rPr>
                <w:rFonts w:hint="eastAsia" w:ascii="宋体" w:hAnsi="宋体" w:eastAsia="宋体" w:cs="宋体"/>
                <w:b w:val="0"/>
                <w:bCs/>
                <w:snapToGrid/>
                <w:color w:val="auto"/>
                <w:spacing w:val="0"/>
                <w:w w:val="100"/>
                <w:kern w:val="2"/>
                <w:sz w:val="21"/>
                <w:szCs w:val="21"/>
                <w:highlight w:val="none"/>
              </w:rPr>
            </w:pPr>
            <w:r>
              <w:rPr>
                <w:rFonts w:hint="eastAsia" w:ascii="宋体" w:hAnsi="宋体" w:eastAsia="宋体" w:cs="宋体"/>
                <w:b w:val="0"/>
                <w:bCs/>
                <w:snapToGrid/>
                <w:color w:val="auto"/>
                <w:spacing w:val="0"/>
                <w:w w:val="100"/>
                <w:kern w:val="2"/>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7348" w:type="dxa"/>
            <w:gridSpan w:val="2"/>
            <w:vAlign w:val="center"/>
          </w:tcPr>
          <w:p>
            <w:pPr>
              <w:spacing w:line="440" w:lineRule="exact"/>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报价部分</w:t>
            </w:r>
          </w:p>
        </w:tc>
        <w:tc>
          <w:tcPr>
            <w:tcW w:w="844" w:type="dxa"/>
            <w:vAlign w:val="center"/>
          </w:tcPr>
          <w:p>
            <w:pPr>
              <w:spacing w:line="440" w:lineRule="exact"/>
              <w:jc w:val="center"/>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7" w:hRule="atLeast"/>
          <w:jc w:val="center"/>
        </w:trPr>
        <w:tc>
          <w:tcPr>
            <w:tcW w:w="817" w:type="dxa"/>
            <w:vMerge w:val="continue"/>
            <w:vAlign w:val="center"/>
          </w:tcPr>
          <w:p>
            <w:pPr>
              <w:spacing w:line="440" w:lineRule="exact"/>
              <w:jc w:val="center"/>
              <w:rPr>
                <w:rFonts w:hint="eastAsia" w:ascii="宋体" w:hAnsi="宋体" w:eastAsia="宋体" w:cs="宋体"/>
                <w:color w:val="auto"/>
                <w:sz w:val="21"/>
                <w:szCs w:val="21"/>
                <w:highlight w:val="none"/>
              </w:rPr>
            </w:pPr>
          </w:p>
        </w:tc>
        <w:tc>
          <w:tcPr>
            <w:tcW w:w="113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w:t>
            </w:r>
          </w:p>
        </w:tc>
        <w:tc>
          <w:tcPr>
            <w:tcW w:w="62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有效供应商中的平均价格的95%作为评标基准价。若供应商为6家（含6家）以上时，分别去掉一个最高有效投标报价和一个最低有效投标报价，取剩余有效投标报价的平均价格的95%作为评标基准价。投标报价等于评标基准价得</w:t>
            </w:r>
            <w:r>
              <w:rPr>
                <w:rFonts w:hint="eastAsia" w:ascii="宋体" w:hAnsi="宋体" w:eastAsia="宋体" w:cs="宋体"/>
                <w:b/>
                <w:bCs/>
                <w:color w:val="auto"/>
                <w:sz w:val="21"/>
                <w:szCs w:val="21"/>
                <w:highlight w:val="none"/>
                <w:lang w:val="en-US" w:eastAsia="zh-CN"/>
              </w:rPr>
              <w:t>40</w:t>
            </w:r>
            <w:r>
              <w:rPr>
                <w:rFonts w:hint="eastAsia" w:ascii="宋体" w:hAnsi="宋体" w:eastAsia="宋体" w:cs="宋体"/>
                <w:color w:val="auto"/>
                <w:sz w:val="21"/>
                <w:szCs w:val="21"/>
                <w:highlight w:val="none"/>
              </w:rPr>
              <w:t>分，每高于评标基准价1%扣1分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最多扣</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每低于评标基准价1%</w:t>
            </w:r>
            <w:r>
              <w:rPr>
                <w:rFonts w:hint="eastAsia" w:ascii="宋体" w:hAnsi="宋体" w:eastAsia="宋体" w:cs="宋体"/>
                <w:color w:val="auto"/>
                <w:sz w:val="21"/>
                <w:szCs w:val="21"/>
                <w:highlight w:val="none"/>
                <w:lang w:val="en-US" w:eastAsia="zh-CN"/>
              </w:rPr>
              <w:t>加0.5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最多加10分</w:t>
            </w:r>
            <w:r>
              <w:rPr>
                <w:rFonts w:hint="eastAsia" w:ascii="宋体" w:hAnsi="宋体" w:eastAsia="宋体" w:cs="宋体"/>
                <w:color w:val="auto"/>
                <w:sz w:val="21"/>
                <w:szCs w:val="21"/>
                <w:highlight w:val="none"/>
              </w:rPr>
              <w:t>。不足1%按插入法计算，保留两位小数。</w:t>
            </w:r>
          </w:p>
        </w:tc>
        <w:tc>
          <w:tcPr>
            <w:tcW w:w="844" w:type="dxa"/>
            <w:tcBorders>
              <w:bottom w:val="single" w:color="auto" w:sz="4" w:space="0"/>
            </w:tcBorders>
            <w:vAlign w:val="center"/>
          </w:tcPr>
          <w:p>
            <w:pPr>
              <w:spacing w:line="440" w:lineRule="exact"/>
              <w:jc w:val="left"/>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restart"/>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p>
        </w:tc>
        <w:tc>
          <w:tcPr>
            <w:tcW w:w="7348"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商务部分</w:t>
            </w:r>
          </w:p>
        </w:tc>
        <w:tc>
          <w:tcPr>
            <w:tcW w:w="844" w:type="dxa"/>
            <w:vAlign w:val="center"/>
          </w:tcPr>
          <w:p>
            <w:pPr>
              <w:spacing w:line="440" w:lineRule="exact"/>
              <w:jc w:val="center"/>
              <w:rPr>
                <w:rFonts w:hint="default" w:ascii="宋体" w:hAnsi="宋体" w:eastAsia="宋体" w:cs="宋体"/>
                <w:b/>
                <w:strike/>
                <w:dstrike w:val="0"/>
                <w:color w:val="auto"/>
                <w:sz w:val="21"/>
                <w:szCs w:val="21"/>
                <w:highlight w:val="none"/>
                <w:lang w:val="en-US" w:eastAsia="zh-CN"/>
              </w:rPr>
            </w:pPr>
            <w:r>
              <w:rPr>
                <w:rFonts w:hint="eastAsia" w:ascii="宋体" w:hAnsi="宋体" w:cs="宋体"/>
                <w:b/>
                <w:color w:val="auto"/>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continue"/>
            <w:vAlign w:val="center"/>
          </w:tcPr>
          <w:p>
            <w:pPr>
              <w:spacing w:line="440" w:lineRule="exact"/>
              <w:rPr>
                <w:rFonts w:hint="eastAsia" w:ascii="宋体" w:hAnsi="宋体" w:eastAsia="宋体" w:cs="宋体"/>
                <w:color w:val="auto"/>
                <w:sz w:val="21"/>
                <w:szCs w:val="21"/>
                <w:highlight w:val="none"/>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业绩</w:t>
            </w:r>
          </w:p>
        </w:tc>
        <w:tc>
          <w:tcPr>
            <w:tcW w:w="62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color w:val="auto"/>
                <w:sz w:val="21"/>
                <w:szCs w:val="21"/>
                <w:highlight w:val="none"/>
                <w:lang w:val="en-US"/>
              </w:rPr>
            </w:pPr>
            <w:r>
              <w:rPr>
                <w:rFonts w:hint="eastAsia" w:ascii="宋体" w:hAnsi="宋体" w:eastAsia="宋体" w:cs="宋体"/>
                <w:color w:val="auto"/>
                <w:sz w:val="21"/>
                <w:szCs w:val="21"/>
                <w:highlight w:val="none"/>
                <w:lang w:val="en-US" w:eastAsia="zh-CN"/>
              </w:rPr>
              <w:t>投标人须提供近三年（202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年1月1日-至今）同类产品</w:t>
            </w:r>
            <w:r>
              <w:rPr>
                <w:rFonts w:hint="eastAsia" w:ascii="宋体" w:hAnsi="宋体" w:cs="宋体"/>
                <w:color w:val="auto"/>
                <w:sz w:val="21"/>
                <w:szCs w:val="21"/>
                <w:highlight w:val="none"/>
                <w:lang w:val="en-US" w:eastAsia="zh-CN"/>
              </w:rPr>
              <w:t>（含合同额）</w:t>
            </w:r>
            <w:r>
              <w:rPr>
                <w:rFonts w:hint="eastAsia" w:ascii="宋体" w:hAnsi="宋体" w:eastAsia="宋体" w:cs="宋体"/>
                <w:color w:val="auto"/>
                <w:sz w:val="21"/>
                <w:szCs w:val="21"/>
                <w:highlight w:val="none"/>
                <w:lang w:val="en-US" w:eastAsia="zh-CN"/>
              </w:rPr>
              <w:t>的销售业绩</w:t>
            </w:r>
            <w:r>
              <w:rPr>
                <w:rStyle w:val="35"/>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Hans"/>
              </w:rPr>
              <w:t>每项</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Hans"/>
              </w:rPr>
              <w:t>分，最高得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Hans"/>
              </w:rPr>
              <w:t>分(附合同复印件</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Hans"/>
              </w:rPr>
              <w:t>。</w:t>
            </w:r>
          </w:p>
        </w:tc>
        <w:tc>
          <w:tcPr>
            <w:tcW w:w="844" w:type="dxa"/>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7" w:type="dxa"/>
            <w:vMerge w:val="continue"/>
            <w:vAlign w:val="center"/>
          </w:tcPr>
          <w:p>
            <w:pPr>
              <w:spacing w:line="440" w:lineRule="exact"/>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财务状况</w:t>
            </w:r>
            <w:r>
              <w:rPr>
                <w:rFonts w:hint="eastAsia" w:ascii="宋体" w:hAnsi="宋体" w:eastAsia="宋体" w:cs="宋体"/>
                <w:color w:val="auto"/>
                <w:sz w:val="21"/>
                <w:szCs w:val="21"/>
                <w:highlight w:val="none"/>
                <w:lang w:val="en-US" w:eastAsia="zh-Hans"/>
              </w:rPr>
              <w:t>及信誉</w:t>
            </w:r>
          </w:p>
        </w:tc>
        <w:tc>
          <w:tcPr>
            <w:tcW w:w="62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lang w:val="en-US" w:eastAsia="zh-CN"/>
              </w:rPr>
            </w:pPr>
            <w:bookmarkStart w:id="95" w:name="OLE_LINK3"/>
            <w:r>
              <w:rPr>
                <w:rFonts w:hint="eastAsia" w:ascii="宋体" w:hAnsi="宋体" w:eastAsia="宋体" w:cs="宋体"/>
                <w:color w:val="auto"/>
                <w:sz w:val="21"/>
                <w:szCs w:val="21"/>
                <w:highlight w:val="none"/>
                <w:lang w:val="en-US" w:eastAsia="zh-CN"/>
              </w:rPr>
              <w:t>提供近三年（2020-2022）或公司成立以来经第三方会计师事务所审计的财务报告，报告齐全、完整得2分，缺少1个年份报告扣1分，扣至0分为止；公司成立不足3年的，按照实际成立年份所需对应审计报告得分；财务指标</w:t>
            </w:r>
            <w:r>
              <w:rPr>
                <w:rFonts w:hint="eastAsia" w:ascii="宋体" w:hAnsi="宋体" w:cs="宋体"/>
                <w:color w:val="auto"/>
                <w:sz w:val="21"/>
                <w:szCs w:val="21"/>
                <w:highlight w:val="none"/>
                <w:lang w:val="en-US" w:eastAsia="zh-CN"/>
              </w:rPr>
              <w:t>优秀2</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良好1分，</w:t>
            </w:r>
            <w:r>
              <w:rPr>
                <w:rFonts w:hint="eastAsia" w:ascii="宋体" w:hAnsi="宋体" w:eastAsia="宋体" w:cs="宋体"/>
                <w:color w:val="auto"/>
                <w:sz w:val="21"/>
                <w:szCs w:val="21"/>
                <w:highlight w:val="none"/>
                <w:lang w:val="en-US" w:eastAsia="zh-CN"/>
              </w:rPr>
              <w:t>否则不得分。</w:t>
            </w: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企业信誉（附信用中国查询截图）良好得1分</w:t>
            </w:r>
            <w:bookmarkEnd w:id="95"/>
            <w:r>
              <w:rPr>
                <w:rFonts w:hint="eastAsia" w:ascii="宋体" w:hAnsi="宋体" w:eastAsia="宋体" w:cs="宋体"/>
                <w:color w:val="auto"/>
                <w:sz w:val="21"/>
                <w:szCs w:val="21"/>
                <w:highlight w:val="none"/>
                <w:lang w:val="en-US" w:eastAsia="zh-CN"/>
              </w:rPr>
              <w:t>，否则不得分。</w:t>
            </w: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招标人年度考核A类 得4分，B类得3分，C类得2分，没有考核结果的投标人统一按照考核C类标准计分</w:t>
            </w:r>
          </w:p>
        </w:tc>
        <w:tc>
          <w:tcPr>
            <w:tcW w:w="844" w:type="dxa"/>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continue"/>
            <w:vAlign w:val="center"/>
          </w:tcPr>
          <w:p>
            <w:pPr>
              <w:spacing w:line="440" w:lineRule="exact"/>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体系认证</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Hans" w:bidi="ar-SA"/>
              </w:rPr>
              <w:t>质量、环境、安全与职业健康三体系齐全得</w:t>
            </w:r>
            <w:r>
              <w:rPr>
                <w:rFonts w:hint="eastAsia" w:ascii="宋体" w:hAnsi="宋体" w:cs="宋体"/>
                <w:color w:val="auto"/>
                <w:kern w:val="0"/>
                <w:sz w:val="21"/>
                <w:szCs w:val="21"/>
                <w:highlight w:val="none"/>
                <w:lang w:val="en-US" w:eastAsia="zh-CN" w:bidi="ar-SA"/>
              </w:rPr>
              <w:t>3</w:t>
            </w:r>
            <w:r>
              <w:rPr>
                <w:rFonts w:hint="eastAsia" w:ascii="宋体" w:hAnsi="宋体" w:eastAsia="宋体" w:cs="宋体"/>
                <w:color w:val="auto"/>
                <w:kern w:val="0"/>
                <w:sz w:val="21"/>
                <w:szCs w:val="21"/>
                <w:highlight w:val="none"/>
                <w:lang w:val="en-US" w:eastAsia="zh-Hans" w:bidi="ar-SA"/>
              </w:rPr>
              <w:t>分，少</w:t>
            </w:r>
            <w:r>
              <w:rPr>
                <w:rFonts w:hint="eastAsia" w:ascii="宋体" w:hAnsi="宋体" w:eastAsia="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en-US" w:eastAsia="zh-Hans" w:bidi="ar-SA"/>
              </w:rPr>
              <w:t>项扣1分</w:t>
            </w:r>
            <w:r>
              <w:rPr>
                <w:rFonts w:hint="eastAsia" w:ascii="宋体" w:hAnsi="宋体" w:eastAsia="宋体" w:cs="宋体"/>
                <w:color w:val="auto"/>
                <w:kern w:val="0"/>
                <w:sz w:val="21"/>
                <w:szCs w:val="21"/>
                <w:highlight w:val="none"/>
                <w:lang w:val="en-US" w:eastAsia="zh-CN" w:bidi="ar-SA"/>
              </w:rPr>
              <w:t>，最低0分</w:t>
            </w:r>
            <w:r>
              <w:rPr>
                <w:rFonts w:hint="eastAsia" w:ascii="宋体" w:hAnsi="宋体" w:eastAsia="宋体" w:cs="宋体"/>
                <w:color w:val="auto"/>
                <w:kern w:val="0"/>
                <w:sz w:val="21"/>
                <w:szCs w:val="21"/>
                <w:highlight w:val="none"/>
                <w:lang w:val="en-US" w:eastAsia="zh-Hans" w:bidi="ar-SA"/>
              </w:rPr>
              <w:t>。</w:t>
            </w:r>
          </w:p>
        </w:tc>
        <w:tc>
          <w:tcPr>
            <w:tcW w:w="844" w:type="dxa"/>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Merge w:val="continue"/>
            <w:vAlign w:val="center"/>
          </w:tcPr>
          <w:p>
            <w:pPr>
              <w:spacing w:line="440" w:lineRule="exact"/>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工</w:t>
            </w:r>
            <w:r>
              <w:rPr>
                <w:rFonts w:hint="eastAsia" w:ascii="宋体" w:hAnsi="宋体" w:cs="宋体"/>
                <w:color w:val="auto"/>
                <w:kern w:val="0"/>
                <w:sz w:val="21"/>
                <w:szCs w:val="21"/>
                <w:highlight w:val="none"/>
                <w:lang w:val="en-US" w:eastAsia="zh-CN" w:bidi="ar-SA"/>
              </w:rPr>
              <w:t xml:space="preserve">  </w:t>
            </w:r>
            <w:r>
              <w:rPr>
                <w:rFonts w:hint="eastAsia" w:ascii="宋体" w:hAnsi="宋体" w:eastAsia="宋体" w:cs="宋体"/>
                <w:color w:val="auto"/>
                <w:kern w:val="0"/>
                <w:sz w:val="21"/>
                <w:szCs w:val="21"/>
                <w:highlight w:val="none"/>
                <w:lang w:val="en-US" w:eastAsia="zh-CN" w:bidi="ar-SA"/>
              </w:rPr>
              <w:t>期</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Hans" w:bidi="ar-SA"/>
              </w:rPr>
            </w:pPr>
            <w:r>
              <w:rPr>
                <w:rFonts w:hint="eastAsia" w:ascii="宋体" w:hAnsi="宋体" w:eastAsia="宋体" w:cs="宋体"/>
                <w:color w:val="auto"/>
                <w:kern w:val="0"/>
                <w:sz w:val="21"/>
                <w:szCs w:val="21"/>
                <w:highlight w:val="none"/>
                <w:lang w:val="en-US" w:eastAsia="zh-CN" w:bidi="ar-SA"/>
              </w:rPr>
              <w:t>满足招标文件要求得1分，每优于招标文件要求5天加0.5分，最多加</w:t>
            </w:r>
            <w:r>
              <w:rPr>
                <w:rFonts w:hint="eastAsia" w:ascii="宋体" w:hAnsi="宋体" w:cs="宋体"/>
                <w:color w:val="auto"/>
                <w:kern w:val="0"/>
                <w:sz w:val="21"/>
                <w:szCs w:val="21"/>
                <w:highlight w:val="none"/>
                <w:lang w:val="en-US" w:eastAsia="zh-CN" w:bidi="ar-SA"/>
              </w:rPr>
              <w:t>2</w:t>
            </w:r>
            <w:r>
              <w:rPr>
                <w:rFonts w:hint="eastAsia" w:ascii="宋体" w:hAnsi="宋体" w:eastAsia="宋体" w:cs="宋体"/>
                <w:color w:val="auto"/>
                <w:kern w:val="0"/>
                <w:sz w:val="21"/>
                <w:szCs w:val="21"/>
                <w:highlight w:val="none"/>
                <w:lang w:val="en-US" w:eastAsia="zh-CN" w:bidi="ar-SA"/>
              </w:rPr>
              <w:t>分。</w:t>
            </w:r>
          </w:p>
        </w:tc>
        <w:tc>
          <w:tcPr>
            <w:tcW w:w="844" w:type="dxa"/>
            <w:vAlign w:val="center"/>
          </w:tcPr>
          <w:p>
            <w:pPr>
              <w:spacing w:line="4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w:t>
            </w:r>
            <w:r>
              <w:rPr>
                <w:rFonts w:hint="eastAsia" w:ascii="宋体" w:hAnsi="宋体" w:cs="宋体"/>
                <w:color w:val="auto"/>
                <w:kern w:val="0"/>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817" w:type="dxa"/>
            <w:vAlign w:val="center"/>
          </w:tcPr>
          <w:p>
            <w:pPr>
              <w:pStyle w:val="4"/>
              <w:ind w:left="0" w:leftChars="0" w:firstLine="0" w:firstLineChars="0"/>
              <w:rPr>
                <w:rFonts w:hint="eastAsia" w:ascii="宋体" w:hAnsi="宋体" w:eastAsia="宋体" w:cs="宋体"/>
                <w:color w:val="auto"/>
                <w:sz w:val="21"/>
                <w:szCs w:val="21"/>
                <w:highlight w:val="none"/>
              </w:rPr>
            </w:pPr>
          </w:p>
        </w:tc>
        <w:tc>
          <w:tcPr>
            <w:tcW w:w="7348"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color w:val="auto"/>
                <w:sz w:val="21"/>
                <w:szCs w:val="21"/>
                <w:highlight w:val="none"/>
                <w:lang w:val="en-US" w:eastAsia="zh-CN"/>
              </w:rPr>
              <w:t>技术部分</w:t>
            </w:r>
          </w:p>
        </w:tc>
        <w:tc>
          <w:tcPr>
            <w:tcW w:w="844" w:type="dxa"/>
            <w:vAlign w:val="center"/>
          </w:tcPr>
          <w:p>
            <w:pPr>
              <w:spacing w:line="440" w:lineRule="exact"/>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Align w:val="center"/>
          </w:tcPr>
          <w:p>
            <w:pPr>
              <w:pStyle w:val="4"/>
              <w:ind w:left="0" w:leftChars="0" w:firstLine="0" w:firstLineChars="0"/>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技术部分及响应</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Hans" w:bidi="ar-SA"/>
              </w:rPr>
              <w:t>技术部分内容完整、数据准确、文字描述准确</w:t>
            </w:r>
            <w:r>
              <w:rPr>
                <w:rFonts w:hint="eastAsia" w:ascii="宋体" w:hAnsi="宋体" w:eastAsia="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Hans" w:bidi="ar-SA"/>
              </w:rPr>
              <w:t>投标设备对技术</w:t>
            </w:r>
            <w:r>
              <w:rPr>
                <w:rFonts w:hint="eastAsia" w:ascii="宋体" w:hAnsi="宋体" w:eastAsia="宋体" w:cs="宋体"/>
                <w:color w:val="auto"/>
                <w:kern w:val="0"/>
                <w:sz w:val="21"/>
                <w:szCs w:val="21"/>
                <w:highlight w:val="none"/>
                <w:lang w:val="en-US" w:eastAsia="zh-CN" w:bidi="ar-SA"/>
              </w:rPr>
              <w:t>及品牌</w:t>
            </w:r>
            <w:r>
              <w:rPr>
                <w:rFonts w:hint="eastAsia" w:ascii="宋体" w:hAnsi="宋体" w:eastAsia="宋体" w:cs="宋体"/>
                <w:color w:val="auto"/>
                <w:kern w:val="0"/>
                <w:sz w:val="21"/>
                <w:szCs w:val="21"/>
                <w:highlight w:val="none"/>
                <w:lang w:val="en-US" w:eastAsia="zh-Hans" w:bidi="ar-SA"/>
              </w:rPr>
              <w:t>要求的响应程度高</w:t>
            </w:r>
            <w:r>
              <w:rPr>
                <w:rFonts w:hint="eastAsia" w:ascii="宋体" w:hAnsi="宋体" w:eastAsia="宋体" w:cs="宋体"/>
                <w:color w:val="auto"/>
                <w:kern w:val="0"/>
                <w:sz w:val="21"/>
                <w:szCs w:val="21"/>
                <w:highlight w:val="none"/>
                <w:lang w:val="en-US" w:eastAsia="zh-CN" w:bidi="ar-SA"/>
              </w:rPr>
              <w:t>。良好的得9-10分，一般的得5-8分，较差的得0-4分。</w:t>
            </w:r>
          </w:p>
        </w:tc>
        <w:tc>
          <w:tcPr>
            <w:tcW w:w="844" w:type="dxa"/>
            <w:vAlign w:val="center"/>
          </w:tcPr>
          <w:p>
            <w:pPr>
              <w:spacing w:line="4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jc w:val="center"/>
        </w:trPr>
        <w:tc>
          <w:tcPr>
            <w:tcW w:w="817" w:type="dxa"/>
            <w:vAlign w:val="center"/>
          </w:tcPr>
          <w:p>
            <w:pPr>
              <w:pStyle w:val="4"/>
              <w:ind w:left="0" w:leftChars="0" w:firstLine="0" w:firstLineChars="0"/>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设备标准、配置及操作</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Hans" w:bidi="ar-SA"/>
              </w:rPr>
              <w:t>设备（部件）配置的合理、功能可靠完善</w:t>
            </w:r>
            <w:r>
              <w:rPr>
                <w:rFonts w:hint="eastAsia" w:ascii="宋体" w:hAnsi="宋体" w:eastAsia="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Hans" w:bidi="ar-SA"/>
              </w:rPr>
              <w:t>设备制造采用的标准先进性、适用性</w:t>
            </w:r>
            <w:r>
              <w:rPr>
                <w:rFonts w:hint="eastAsia" w:ascii="宋体" w:hAnsi="宋体" w:eastAsia="宋体" w:cs="宋体"/>
                <w:color w:val="auto"/>
                <w:kern w:val="0"/>
                <w:sz w:val="21"/>
                <w:szCs w:val="21"/>
                <w:highlight w:val="none"/>
                <w:lang w:val="en-US" w:eastAsia="zh-CN" w:bidi="ar-SA"/>
              </w:rPr>
              <w:t>高；</w:t>
            </w:r>
            <w:r>
              <w:rPr>
                <w:rFonts w:hint="eastAsia" w:ascii="宋体" w:hAnsi="宋体" w:eastAsia="宋体" w:cs="宋体"/>
                <w:color w:val="auto"/>
                <w:kern w:val="0"/>
                <w:sz w:val="21"/>
                <w:szCs w:val="21"/>
                <w:highlight w:val="none"/>
                <w:lang w:val="en-US" w:eastAsia="zh-Hans" w:bidi="ar-SA"/>
              </w:rPr>
              <w:t>设备的操作、维护简便、灵活</w:t>
            </w:r>
            <w:r>
              <w:rPr>
                <w:rFonts w:hint="eastAsia" w:ascii="宋体" w:hAnsi="宋体" w:eastAsia="宋体" w:cs="宋体"/>
                <w:color w:val="auto"/>
                <w:kern w:val="0"/>
                <w:sz w:val="21"/>
                <w:szCs w:val="21"/>
                <w:highlight w:val="none"/>
                <w:lang w:val="en-US" w:eastAsia="zh-CN" w:bidi="ar-SA"/>
              </w:rPr>
              <w:t>。良好的得6-7分，一般的得4-5分，较差的得0-3分；具有优质产品证书的加1分。</w:t>
            </w:r>
          </w:p>
        </w:tc>
        <w:tc>
          <w:tcPr>
            <w:tcW w:w="844" w:type="dxa"/>
            <w:vAlign w:val="center"/>
          </w:tcPr>
          <w:p>
            <w:pPr>
              <w:spacing w:line="4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17" w:type="dxa"/>
            <w:vAlign w:val="center"/>
          </w:tcPr>
          <w:p>
            <w:pPr>
              <w:pStyle w:val="4"/>
              <w:ind w:left="0" w:leftChars="0" w:firstLine="0" w:firstLineChars="0"/>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设备部件及备品备件</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Hans" w:bidi="ar-SA"/>
              </w:rPr>
              <w:t>部件互换性高、设备易维修、整体安全性高</w:t>
            </w:r>
            <w:r>
              <w:rPr>
                <w:rFonts w:hint="eastAsia" w:ascii="宋体" w:hAnsi="宋体" w:eastAsia="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Hans" w:bidi="ar-SA"/>
              </w:rPr>
              <w:t>随机备品、备件的种类齐全、数量充足。</w:t>
            </w:r>
            <w:r>
              <w:rPr>
                <w:rFonts w:hint="eastAsia" w:ascii="宋体" w:hAnsi="宋体" w:eastAsia="宋体" w:cs="宋体"/>
                <w:color w:val="auto"/>
                <w:kern w:val="0"/>
                <w:sz w:val="21"/>
                <w:szCs w:val="21"/>
                <w:highlight w:val="none"/>
                <w:lang w:val="en-US" w:eastAsia="zh-CN" w:bidi="ar-SA"/>
              </w:rPr>
              <w:t>良好的得4-5分，一般的得2-3分，较差的得0-1分。</w:t>
            </w:r>
          </w:p>
        </w:tc>
        <w:tc>
          <w:tcPr>
            <w:tcW w:w="844" w:type="dxa"/>
            <w:vAlign w:val="center"/>
          </w:tcPr>
          <w:p>
            <w:pPr>
              <w:spacing w:line="4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8" w:hRule="atLeast"/>
          <w:jc w:val="center"/>
        </w:trPr>
        <w:tc>
          <w:tcPr>
            <w:tcW w:w="817" w:type="dxa"/>
            <w:vAlign w:val="center"/>
          </w:tcPr>
          <w:p>
            <w:pPr>
              <w:pStyle w:val="4"/>
              <w:ind w:left="0" w:leftChars="0" w:firstLine="0" w:firstLineChars="0"/>
              <w:rPr>
                <w:rFonts w:hint="eastAsia" w:ascii="宋体" w:hAnsi="宋体" w:eastAsia="宋体" w:cs="宋体"/>
                <w:color w:val="auto"/>
                <w:sz w:val="21"/>
                <w:szCs w:val="21"/>
                <w:highlight w:val="none"/>
              </w:rPr>
            </w:pPr>
          </w:p>
        </w:tc>
        <w:tc>
          <w:tcPr>
            <w:tcW w:w="11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服务及资料</w:t>
            </w:r>
          </w:p>
        </w:tc>
        <w:tc>
          <w:tcPr>
            <w:tcW w:w="62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Hans" w:bidi="ar-SA"/>
              </w:rPr>
              <w:t>技术服务和技术支持承诺全面，可行性强。售后服务零部件价格</w:t>
            </w:r>
            <w:r>
              <w:rPr>
                <w:rFonts w:hint="eastAsia" w:ascii="宋体" w:hAnsi="宋体" w:eastAsia="宋体" w:cs="宋体"/>
                <w:color w:val="auto"/>
                <w:kern w:val="0"/>
                <w:sz w:val="21"/>
                <w:szCs w:val="21"/>
                <w:highlight w:val="none"/>
                <w:lang w:val="en-US" w:eastAsia="zh-CN" w:bidi="ar-SA"/>
              </w:rPr>
              <w:t>合理</w:t>
            </w:r>
            <w:r>
              <w:rPr>
                <w:rFonts w:hint="eastAsia" w:ascii="宋体" w:hAnsi="宋体" w:eastAsia="宋体" w:cs="宋体"/>
                <w:color w:val="auto"/>
                <w:kern w:val="0"/>
                <w:sz w:val="21"/>
                <w:szCs w:val="21"/>
                <w:highlight w:val="none"/>
                <w:lang w:val="en-US" w:eastAsia="zh-Hans" w:bidi="ar-SA"/>
              </w:rPr>
              <w:t>。提供的技术资料、图纸全面、合理。</w:t>
            </w:r>
            <w:r>
              <w:rPr>
                <w:rFonts w:hint="eastAsia" w:ascii="宋体" w:hAnsi="宋体" w:eastAsia="宋体" w:cs="宋体"/>
                <w:color w:val="auto"/>
                <w:kern w:val="0"/>
                <w:sz w:val="21"/>
                <w:szCs w:val="21"/>
                <w:highlight w:val="none"/>
                <w:lang w:val="en-US" w:eastAsia="zh-CN" w:bidi="ar-SA"/>
              </w:rPr>
              <w:t>售后服务保障措施完善，保证服务质量。良好的得6-7分，一般的得3-5分，较差的得0-2分。</w:t>
            </w:r>
          </w:p>
        </w:tc>
        <w:tc>
          <w:tcPr>
            <w:tcW w:w="844" w:type="dxa"/>
            <w:vAlign w:val="center"/>
          </w:tcPr>
          <w:p>
            <w:pPr>
              <w:spacing w:line="440" w:lineRule="exact"/>
              <w:jc w:val="center"/>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jc w:val="center"/>
        </w:trPr>
        <w:tc>
          <w:tcPr>
            <w:tcW w:w="8165" w:type="dxa"/>
            <w:gridSpan w:val="3"/>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844" w:type="dxa"/>
            <w:vAlign w:val="center"/>
          </w:tcPr>
          <w:p>
            <w:pPr>
              <w:spacing w:line="4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w:t>
            </w:r>
          </w:p>
        </w:tc>
      </w:tr>
    </w:tbl>
    <w:p>
      <w:pPr>
        <w:pStyle w:val="25"/>
        <w:widowControl w:val="0"/>
        <w:tabs>
          <w:tab w:val="left" w:pos="720"/>
        </w:tabs>
        <w:spacing w:before="0" w:beforeAutospacing="0" w:after="0" w:afterAutospacing="0" w:line="360" w:lineRule="auto"/>
        <w:ind w:right="28"/>
        <w:jc w:val="both"/>
        <w:rPr>
          <w:rFonts w:hint="eastAsia" w:hAnsi="Times New Roman" w:cs="Times New Roman"/>
          <w:bCs/>
          <w:color w:val="auto"/>
          <w:highlight w:val="none"/>
        </w:rPr>
      </w:pPr>
    </w:p>
    <w:p>
      <w:pPr>
        <w:pStyle w:val="6"/>
        <w:spacing w:line="360" w:lineRule="auto"/>
        <w:rPr>
          <w:color w:val="auto"/>
          <w:highlight w:val="none"/>
        </w:rPr>
      </w:pPr>
      <w:bookmarkStart w:id="96" w:name="_Toc10122269"/>
      <w:bookmarkStart w:id="97" w:name="_Toc10184880"/>
      <w:bookmarkStart w:id="98" w:name="_Toc2627"/>
      <w:bookmarkStart w:id="99" w:name="_Toc25798"/>
      <w:bookmarkStart w:id="100" w:name="_Toc16706_WPSOffice_Level2"/>
      <w:r>
        <w:rPr>
          <w:rFonts w:hint="eastAsia"/>
          <w:color w:val="auto"/>
          <w:highlight w:val="none"/>
        </w:rPr>
        <w:t>六</w:t>
      </w:r>
      <w:r>
        <w:rPr>
          <w:color w:val="auto"/>
          <w:highlight w:val="none"/>
        </w:rPr>
        <w:t>、</w:t>
      </w:r>
      <w:r>
        <w:rPr>
          <w:rFonts w:hint="eastAsia"/>
          <w:color w:val="auto"/>
          <w:highlight w:val="none"/>
        </w:rPr>
        <w:t>签订</w:t>
      </w:r>
      <w:r>
        <w:rPr>
          <w:color w:val="auto"/>
          <w:highlight w:val="none"/>
        </w:rPr>
        <w:t>合同</w:t>
      </w:r>
      <w:bookmarkEnd w:id="86"/>
      <w:bookmarkEnd w:id="96"/>
      <w:bookmarkEnd w:id="97"/>
      <w:bookmarkEnd w:id="98"/>
      <w:bookmarkEnd w:id="99"/>
      <w:bookmarkEnd w:id="100"/>
    </w:p>
    <w:p>
      <w:pPr>
        <w:pStyle w:val="25"/>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420" w:lineRule="exact"/>
        <w:ind w:left="0" w:leftChars="0" w:right="0" w:firstLine="480" w:firstLineChars="200"/>
        <w:jc w:val="both"/>
        <w:textAlignment w:val="auto"/>
        <w:rPr>
          <w:rFonts w:hint="eastAsia" w:hAnsi="Times New Roman" w:cs="Times New Roman"/>
          <w:bCs/>
          <w:color w:val="auto"/>
          <w:highlight w:val="none"/>
        </w:rPr>
      </w:pPr>
      <w:r>
        <w:rPr>
          <w:rFonts w:hint="eastAsia" w:hAnsi="Times New Roman" w:cs="Times New Roman"/>
          <w:bCs/>
          <w:color w:val="auto"/>
          <w:highlight w:val="none"/>
        </w:rPr>
        <w:t>1、采购人向成交供应商发出成交通知书。</w:t>
      </w:r>
    </w:p>
    <w:p>
      <w:pPr>
        <w:pStyle w:val="25"/>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420" w:lineRule="exact"/>
        <w:ind w:left="0" w:leftChars="0" w:right="0" w:firstLine="480" w:firstLineChars="200"/>
        <w:jc w:val="both"/>
        <w:textAlignment w:val="auto"/>
        <w:rPr>
          <w:rFonts w:hint="eastAsia" w:hAnsi="Times New Roman" w:cs="Times New Roman"/>
          <w:bCs/>
          <w:color w:val="auto"/>
          <w:highlight w:val="none"/>
        </w:rPr>
      </w:pPr>
      <w:r>
        <w:rPr>
          <w:rFonts w:hint="eastAsia" w:hAnsi="Times New Roman" w:cs="Times New Roman"/>
          <w:bCs/>
          <w:color w:val="auto"/>
          <w:highlight w:val="none"/>
        </w:rPr>
        <w:t>2、成交供应商收到成交通知书后</w:t>
      </w:r>
      <w:r>
        <w:rPr>
          <w:rFonts w:hint="eastAsia" w:cs="Times New Roman"/>
          <w:bCs/>
          <w:color w:val="auto"/>
          <w:highlight w:val="none"/>
          <w:lang w:val="en-US" w:eastAsia="zh-CN"/>
        </w:rPr>
        <w:t>7</w:t>
      </w:r>
      <w:r>
        <w:rPr>
          <w:rFonts w:hint="eastAsia" w:hAnsi="Times New Roman" w:cs="Times New Roman"/>
          <w:bCs/>
          <w:color w:val="auto"/>
          <w:highlight w:val="none"/>
        </w:rPr>
        <w:t>天内，应派授权代表前往采购人所在地点签订合同。</w:t>
      </w:r>
    </w:p>
    <w:p>
      <w:pPr>
        <w:pStyle w:val="25"/>
        <w:keepNext w:val="0"/>
        <w:keepLines w:val="0"/>
        <w:pageBreakBefore w:val="0"/>
        <w:widowControl w:val="0"/>
        <w:tabs>
          <w:tab w:val="left" w:pos="720"/>
        </w:tabs>
        <w:kinsoku/>
        <w:wordWrap/>
        <w:overflowPunct/>
        <w:topLinePunct w:val="0"/>
        <w:autoSpaceDE/>
        <w:autoSpaceDN/>
        <w:bidi w:val="0"/>
        <w:adjustRightInd/>
        <w:snapToGrid/>
        <w:spacing w:before="0" w:beforeAutospacing="0" w:after="0" w:afterAutospacing="0" w:line="420" w:lineRule="exact"/>
        <w:ind w:left="0" w:leftChars="0" w:right="0" w:firstLine="480" w:firstLineChars="200"/>
        <w:jc w:val="both"/>
        <w:textAlignment w:val="auto"/>
        <w:rPr>
          <w:rFonts w:hint="default" w:hAnsi="Times New Roman" w:eastAsia="宋体" w:cs="Times New Roman"/>
          <w:bCs/>
          <w:color w:val="auto"/>
          <w:highlight w:val="none"/>
          <w:lang w:val="en-US" w:eastAsia="zh-CN"/>
        </w:rPr>
      </w:pPr>
      <w:r>
        <w:rPr>
          <w:rFonts w:hint="eastAsia" w:hAnsi="Times New Roman" w:cs="Times New Roman"/>
          <w:bCs/>
          <w:color w:val="auto"/>
          <w:highlight w:val="none"/>
        </w:rPr>
        <w:t>3、成交供应商因不可抗力不能履行采购合同的，采购人可以提出本次采购作废，并进行重新采购</w:t>
      </w:r>
      <w:r>
        <w:rPr>
          <w:rFonts w:hint="eastAsia" w:cs="Times New Roman"/>
          <w:bCs/>
          <w:color w:val="auto"/>
          <w:highlight w:val="none"/>
          <w:lang w:eastAsia="zh-CN"/>
        </w:rPr>
        <w:t>；</w:t>
      </w:r>
      <w:r>
        <w:rPr>
          <w:rFonts w:hint="eastAsia" w:cs="Times New Roman"/>
          <w:bCs/>
          <w:color w:val="auto"/>
          <w:highlight w:val="none"/>
          <w:lang w:val="en-US" w:eastAsia="zh-CN"/>
        </w:rPr>
        <w:t>因自身原因不履行合同时，采购人除将重新采购外，还将视情形综合进行考评，将其列入集团/公司级黑名单。</w:t>
      </w:r>
    </w:p>
    <w:p>
      <w:pPr>
        <w:pageBreakBefore/>
        <w:tabs>
          <w:tab w:val="left" w:pos="3060"/>
          <w:tab w:val="left" w:pos="3420"/>
        </w:tabs>
        <w:spacing w:line="400" w:lineRule="exact"/>
        <w:jc w:val="center"/>
        <w:outlineLvl w:val="0"/>
        <w:rPr>
          <w:rFonts w:ascii="宋体"/>
          <w:b/>
          <w:color w:val="auto"/>
          <w:sz w:val="32"/>
          <w:szCs w:val="32"/>
          <w:highlight w:val="yellow"/>
        </w:rPr>
      </w:pPr>
      <w:bookmarkStart w:id="101" w:name="_Toc9289"/>
      <w:bookmarkStart w:id="102" w:name="_Toc382509462"/>
      <w:bookmarkStart w:id="103" w:name="_Toc376793568"/>
      <w:bookmarkStart w:id="104" w:name="_Toc376793587"/>
      <w:bookmarkStart w:id="105" w:name="_Toc376793722"/>
      <w:r>
        <w:rPr>
          <w:rFonts w:ascii="宋体"/>
          <w:b/>
          <w:color w:val="auto"/>
          <w:sz w:val="32"/>
          <w:szCs w:val="32"/>
          <w:highlight w:val="none"/>
        </w:rPr>
        <w:t>第三章 合同主要条款</w:t>
      </w:r>
      <w:r>
        <w:rPr>
          <w:rFonts w:hint="eastAsia" w:ascii="宋体"/>
          <w:b/>
          <w:color w:val="auto"/>
          <w:sz w:val="32"/>
          <w:szCs w:val="32"/>
          <w:highlight w:val="none"/>
        </w:rPr>
        <w:t>（基本格式）</w:t>
      </w:r>
    </w:p>
    <w:bookmarkEnd w:id="101"/>
    <w:bookmarkEnd w:id="102"/>
    <w:bookmarkEnd w:id="103"/>
    <w:bookmarkEnd w:id="104"/>
    <w:bookmarkEnd w:id="105"/>
    <w:p>
      <w:pPr>
        <w:spacing w:before="0" w:after="0"/>
        <w:jc w:val="center"/>
        <w:rPr>
          <w:rStyle w:val="51"/>
          <w:rFonts w:hint="eastAsia" w:asciiTheme="minorEastAsia" w:hAnsiTheme="minorEastAsia" w:eastAsiaTheme="minorEastAsia" w:cstheme="minorEastAsia"/>
          <w:sz w:val="24"/>
          <w:szCs w:val="24"/>
        </w:rPr>
      </w:pPr>
      <w:bookmarkStart w:id="106" w:name="_Toc44328243"/>
      <w:bookmarkStart w:id="107" w:name="_Toc144974578"/>
      <w:bookmarkStart w:id="108" w:name="_Toc300835199"/>
      <w:bookmarkStart w:id="109" w:name="_Toc247514197"/>
      <w:bookmarkStart w:id="110" w:name="_Toc247085853"/>
      <w:bookmarkStart w:id="111" w:name="_Toc184635122"/>
      <w:bookmarkStart w:id="112" w:name="_Toc152042388"/>
      <w:bookmarkStart w:id="113" w:name="_Toc246997081"/>
      <w:bookmarkStart w:id="114" w:name="_Toc152042549"/>
      <w:bookmarkStart w:id="115" w:name="_Toc246996338"/>
      <w:bookmarkStart w:id="116" w:name="_Toc144974829"/>
      <w:bookmarkStart w:id="117" w:name="_Toc152045610"/>
      <w:bookmarkStart w:id="118" w:name="_Toc179632787"/>
      <w:bookmarkStart w:id="119" w:name="_Toc247527798"/>
      <w:bookmarkStart w:id="120" w:name="_Toc10122274"/>
      <w:bookmarkStart w:id="121" w:name="_Toc22166"/>
      <w:r>
        <w:rPr>
          <w:rStyle w:val="51"/>
          <w:rFonts w:hint="eastAsia" w:asciiTheme="minorEastAsia" w:hAnsiTheme="minorEastAsia" w:eastAsiaTheme="minorEastAsia" w:cstheme="minorEastAsia"/>
          <w:sz w:val="24"/>
          <w:szCs w:val="24"/>
        </w:rPr>
        <w:t xml:space="preserve"> </w:t>
      </w:r>
    </w:p>
    <w:p>
      <w:pPr>
        <w:spacing w:before="0" w:after="0"/>
        <w:jc w:val="center"/>
        <w:rPr>
          <w:rStyle w:val="51"/>
          <w:rFonts w:hint="eastAsia" w:asciiTheme="minorEastAsia" w:hAnsiTheme="minorEastAsia" w:eastAsiaTheme="minorEastAsia" w:cstheme="minorEastAsia"/>
          <w:sz w:val="24"/>
          <w:szCs w:val="24"/>
        </w:rPr>
      </w:pPr>
    </w:p>
    <w:p>
      <w:pPr>
        <w:spacing w:before="0" w:after="0"/>
        <w:jc w:val="center"/>
        <w:rPr>
          <w:rStyle w:val="51"/>
          <w:rFonts w:hint="eastAsia" w:ascii="宋体" w:hAnsi="宋体" w:eastAsia="宋体" w:cs="宋体"/>
          <w:b/>
          <w:sz w:val="44"/>
          <w:szCs w:val="44"/>
        </w:rPr>
      </w:pPr>
      <w:bookmarkStart w:id="122" w:name="_Toc512687978"/>
      <w:bookmarkStart w:id="123" w:name="_Toc302134080"/>
      <w:bookmarkStart w:id="124" w:name="_Toc301938555"/>
      <w:bookmarkStart w:id="125" w:name="_Toc301876777"/>
      <w:bookmarkStart w:id="126" w:name="_Toc302134199"/>
      <w:bookmarkStart w:id="127" w:name="_Toc302134234"/>
    </w:p>
    <w:p>
      <w:pPr>
        <w:spacing w:before="0" w:after="0"/>
        <w:jc w:val="center"/>
        <w:rPr>
          <w:rStyle w:val="51"/>
          <w:rFonts w:hint="eastAsia" w:ascii="宋体" w:hAnsi="宋体" w:eastAsia="宋体" w:cs="宋体"/>
          <w:b/>
          <w:sz w:val="44"/>
          <w:szCs w:val="44"/>
        </w:rPr>
      </w:pPr>
    </w:p>
    <w:p>
      <w:pPr>
        <w:spacing w:before="0" w:after="0"/>
        <w:jc w:val="center"/>
        <w:rPr>
          <w:rStyle w:val="51"/>
          <w:rFonts w:hint="eastAsia" w:ascii="宋体" w:hAnsi="宋体" w:eastAsia="宋体" w:cs="宋体"/>
          <w:b/>
          <w:sz w:val="44"/>
          <w:szCs w:val="44"/>
        </w:rPr>
      </w:pPr>
    </w:p>
    <w:p>
      <w:pPr>
        <w:spacing w:before="0" w:after="0"/>
        <w:jc w:val="center"/>
        <w:rPr>
          <w:rStyle w:val="51"/>
          <w:rFonts w:hint="eastAsia" w:ascii="宋体" w:hAnsi="宋体" w:eastAsia="宋体" w:cs="宋体"/>
          <w:b/>
          <w:sz w:val="44"/>
          <w:szCs w:val="44"/>
          <w:lang w:val="en-US" w:eastAsia="zh-CN"/>
        </w:rPr>
      </w:pPr>
      <w:r>
        <w:rPr>
          <w:rStyle w:val="51"/>
          <w:rFonts w:hint="eastAsia" w:ascii="宋体" w:hAnsi="宋体" w:eastAsia="宋体" w:cs="宋体"/>
          <w:b/>
          <w:sz w:val="44"/>
          <w:szCs w:val="44"/>
        </w:rPr>
        <w:t>中国中煤能源集团有限公司</w:t>
      </w:r>
      <w:bookmarkEnd w:id="122"/>
      <w:bookmarkEnd w:id="123"/>
      <w:bookmarkEnd w:id="124"/>
      <w:bookmarkEnd w:id="125"/>
      <w:bookmarkEnd w:id="126"/>
      <w:bookmarkEnd w:id="127"/>
      <w:r>
        <w:rPr>
          <w:rStyle w:val="51"/>
          <w:rFonts w:hint="eastAsia" w:ascii="宋体" w:hAnsi="宋体" w:eastAsia="宋体" w:cs="宋体"/>
          <w:b/>
          <w:sz w:val="44"/>
          <w:szCs w:val="44"/>
          <w:lang w:val="en-US" w:eastAsia="zh-CN"/>
        </w:rPr>
        <w:t>xxxxxx</w:t>
      </w:r>
    </w:p>
    <w:p>
      <w:pPr>
        <w:spacing w:before="0" w:after="0"/>
        <w:jc w:val="center"/>
        <w:rPr>
          <w:rStyle w:val="51"/>
          <w:rFonts w:hint="eastAsia" w:ascii="宋体" w:hAnsi="宋体" w:eastAsia="宋体" w:cs="宋体"/>
          <w:b/>
          <w:bCs/>
          <w:sz w:val="44"/>
          <w:szCs w:val="44"/>
          <w:lang w:val="en-US" w:eastAsia="zh-CN"/>
        </w:rPr>
      </w:pPr>
      <w:r>
        <w:rPr>
          <w:rStyle w:val="51"/>
          <w:rFonts w:hint="eastAsia" w:ascii="宋体" w:hAnsi="宋体" w:eastAsia="宋体" w:cs="宋体"/>
          <w:b/>
          <w:bCs/>
          <w:sz w:val="44"/>
          <w:szCs w:val="44"/>
          <w:lang w:val="en-US" w:eastAsia="zh-CN"/>
        </w:rPr>
        <w:t>xxxxxxxxxxxxxx</w:t>
      </w:r>
    </w:p>
    <w:p>
      <w:pPr>
        <w:spacing w:before="0" w:after="0"/>
        <w:jc w:val="center"/>
        <w:rPr>
          <w:rStyle w:val="51"/>
          <w:rFonts w:hint="eastAsia" w:ascii="宋体" w:hAnsi="宋体" w:eastAsia="宋体" w:cs="宋体"/>
          <w:b/>
          <w:sz w:val="44"/>
          <w:szCs w:val="44"/>
          <w:lang w:val="en-US" w:eastAsia="zh-CN"/>
        </w:rPr>
      </w:pPr>
      <w:r>
        <w:rPr>
          <w:rStyle w:val="51"/>
          <w:rFonts w:hint="eastAsia" w:ascii="宋体" w:hAnsi="宋体" w:eastAsia="宋体" w:cs="宋体"/>
          <w:b/>
          <w:bCs/>
          <w:sz w:val="44"/>
          <w:szCs w:val="44"/>
          <w:lang w:val="en-US" w:eastAsia="zh-CN"/>
        </w:rPr>
        <w:t>分包项目</w:t>
      </w:r>
      <w:r>
        <w:rPr>
          <w:rStyle w:val="51"/>
          <w:rFonts w:hint="eastAsia" w:ascii="宋体" w:hAnsi="宋体" w:eastAsia="宋体" w:cs="宋体"/>
          <w:b/>
          <w:sz w:val="44"/>
          <w:szCs w:val="44"/>
          <w:lang w:val="en-US" w:eastAsia="zh-CN"/>
        </w:rPr>
        <w:t>合同</w:t>
      </w:r>
    </w:p>
    <w:p>
      <w:pPr>
        <w:spacing w:before="0" w:after="0" w:line="240" w:lineRule="auto"/>
        <w:jc w:val="center"/>
        <w:rPr>
          <w:rStyle w:val="51"/>
          <w:rFonts w:hint="eastAsia" w:ascii="宋体" w:hAnsi="宋体" w:eastAsia="宋体" w:cs="宋体"/>
          <w:b/>
          <w:sz w:val="24"/>
          <w:szCs w:val="24"/>
        </w:rPr>
      </w:pPr>
    </w:p>
    <w:p>
      <w:pPr>
        <w:spacing w:before="0" w:after="0" w:line="240" w:lineRule="auto"/>
        <w:jc w:val="center"/>
        <w:rPr>
          <w:rStyle w:val="51"/>
          <w:rFonts w:hint="eastAsia" w:ascii="宋体" w:hAnsi="宋体" w:eastAsia="宋体" w:cs="宋体"/>
          <w:sz w:val="24"/>
          <w:szCs w:val="24"/>
        </w:rPr>
      </w:pPr>
    </w:p>
    <w:p>
      <w:pPr>
        <w:spacing w:before="0" w:after="0" w:line="240" w:lineRule="auto"/>
        <w:jc w:val="center"/>
        <w:rPr>
          <w:rStyle w:val="51"/>
          <w:rFonts w:hint="eastAsia" w:ascii="宋体" w:hAnsi="宋体" w:eastAsia="宋体" w:cs="宋体"/>
          <w:sz w:val="24"/>
          <w:szCs w:val="24"/>
        </w:rPr>
      </w:pPr>
    </w:p>
    <w:p>
      <w:pPr>
        <w:spacing w:before="0" w:after="0" w:line="240" w:lineRule="auto"/>
        <w:jc w:val="center"/>
        <w:rPr>
          <w:rStyle w:val="51"/>
          <w:rFonts w:hint="eastAsia" w:ascii="宋体" w:hAnsi="宋体" w:eastAsia="宋体" w:cs="宋体"/>
          <w:sz w:val="24"/>
          <w:szCs w:val="24"/>
        </w:rPr>
      </w:pPr>
    </w:p>
    <w:p>
      <w:pPr>
        <w:pStyle w:val="2"/>
        <w:rPr>
          <w:rStyle w:val="51"/>
          <w:rFonts w:hint="eastAsia" w:ascii="宋体" w:hAnsi="宋体" w:eastAsia="宋体" w:cs="宋体"/>
          <w:b/>
          <w:sz w:val="24"/>
          <w:szCs w:val="24"/>
        </w:rPr>
      </w:pPr>
    </w:p>
    <w:p>
      <w:pPr>
        <w:pStyle w:val="3"/>
        <w:rPr>
          <w:rStyle w:val="51"/>
          <w:rFonts w:hint="eastAsia" w:ascii="宋体" w:hAnsi="宋体" w:eastAsia="宋体" w:cs="宋体"/>
          <w:sz w:val="24"/>
          <w:szCs w:val="24"/>
        </w:rPr>
      </w:pPr>
    </w:p>
    <w:p>
      <w:pPr>
        <w:pStyle w:val="4"/>
        <w:rPr>
          <w:rStyle w:val="51"/>
          <w:rFonts w:hint="eastAsia" w:ascii="宋体" w:hAnsi="宋体" w:eastAsia="宋体" w:cs="宋体"/>
          <w:sz w:val="24"/>
          <w:szCs w:val="24"/>
        </w:rPr>
      </w:pPr>
    </w:p>
    <w:p>
      <w:pPr>
        <w:rPr>
          <w:rStyle w:val="51"/>
          <w:rFonts w:hint="eastAsia" w:ascii="宋体" w:hAnsi="宋体" w:eastAsia="宋体" w:cs="宋体"/>
          <w:sz w:val="24"/>
          <w:szCs w:val="24"/>
        </w:rPr>
      </w:pPr>
    </w:p>
    <w:p>
      <w:pPr>
        <w:pStyle w:val="2"/>
        <w:rPr>
          <w:rStyle w:val="51"/>
          <w:rFonts w:hint="eastAsia" w:ascii="宋体" w:hAnsi="宋体" w:eastAsia="宋体" w:cs="宋体"/>
          <w:b/>
          <w:sz w:val="24"/>
          <w:szCs w:val="24"/>
        </w:rPr>
      </w:pPr>
    </w:p>
    <w:p>
      <w:pPr>
        <w:pStyle w:val="3"/>
        <w:rPr>
          <w:rStyle w:val="51"/>
          <w:rFonts w:hint="eastAsia" w:ascii="宋体" w:hAnsi="宋体" w:eastAsia="宋体" w:cs="宋体"/>
          <w:sz w:val="24"/>
          <w:szCs w:val="24"/>
        </w:rPr>
      </w:pPr>
    </w:p>
    <w:p>
      <w:pPr>
        <w:pStyle w:val="4"/>
        <w:rPr>
          <w:rStyle w:val="51"/>
          <w:rFonts w:hint="eastAsia" w:ascii="宋体" w:hAnsi="宋体" w:eastAsia="宋体" w:cs="宋体"/>
          <w:sz w:val="24"/>
          <w:szCs w:val="24"/>
        </w:rPr>
      </w:pPr>
    </w:p>
    <w:p>
      <w:pPr>
        <w:rPr>
          <w:rStyle w:val="51"/>
          <w:rFonts w:hint="eastAsia" w:ascii="宋体" w:hAnsi="宋体" w:eastAsia="宋体" w:cs="宋体"/>
          <w:sz w:val="24"/>
          <w:szCs w:val="24"/>
        </w:rPr>
      </w:pPr>
    </w:p>
    <w:p>
      <w:pPr>
        <w:pStyle w:val="2"/>
        <w:rPr>
          <w:rStyle w:val="51"/>
          <w:rFonts w:hint="eastAsia" w:ascii="宋体" w:hAnsi="宋体" w:eastAsia="宋体" w:cs="宋体"/>
          <w:b/>
          <w:sz w:val="24"/>
          <w:szCs w:val="24"/>
        </w:rPr>
      </w:pPr>
    </w:p>
    <w:p>
      <w:pPr>
        <w:pStyle w:val="3"/>
        <w:rPr>
          <w:rStyle w:val="51"/>
          <w:rFonts w:hint="eastAsia" w:ascii="宋体" w:hAnsi="宋体" w:eastAsia="宋体" w:cs="宋体"/>
          <w:sz w:val="24"/>
          <w:szCs w:val="24"/>
        </w:rPr>
      </w:pPr>
    </w:p>
    <w:p>
      <w:pPr>
        <w:pStyle w:val="4"/>
        <w:rPr>
          <w:rStyle w:val="51"/>
          <w:rFonts w:hint="eastAsia" w:ascii="宋体" w:hAnsi="宋体" w:eastAsia="宋体" w:cs="宋体"/>
          <w:sz w:val="24"/>
          <w:szCs w:val="24"/>
        </w:rPr>
      </w:pPr>
    </w:p>
    <w:p>
      <w:pPr>
        <w:rPr>
          <w:rStyle w:val="51"/>
          <w:rFonts w:hint="eastAsia" w:ascii="宋体" w:hAnsi="宋体" w:eastAsia="宋体" w:cs="宋体"/>
          <w:sz w:val="24"/>
          <w:szCs w:val="24"/>
        </w:rPr>
      </w:pPr>
    </w:p>
    <w:p>
      <w:pPr>
        <w:pStyle w:val="2"/>
        <w:rPr>
          <w:rStyle w:val="51"/>
          <w:rFonts w:hint="eastAsia" w:ascii="宋体" w:hAnsi="宋体" w:eastAsia="宋体" w:cs="宋体"/>
          <w:b/>
          <w:sz w:val="24"/>
          <w:szCs w:val="24"/>
        </w:rPr>
      </w:pPr>
    </w:p>
    <w:p>
      <w:pPr>
        <w:pStyle w:val="3"/>
        <w:rPr>
          <w:rStyle w:val="51"/>
          <w:rFonts w:hint="eastAsia" w:ascii="宋体" w:hAnsi="宋体" w:eastAsia="宋体" w:cs="宋体"/>
          <w:sz w:val="24"/>
          <w:szCs w:val="24"/>
        </w:rPr>
      </w:pPr>
    </w:p>
    <w:p>
      <w:pPr>
        <w:pStyle w:val="4"/>
        <w:rPr>
          <w:rFonts w:hint="eastAsia"/>
        </w:rPr>
      </w:pPr>
    </w:p>
    <w:p>
      <w:pPr>
        <w:tabs>
          <w:tab w:val="left" w:pos="7440"/>
        </w:tabs>
        <w:spacing w:before="0" w:after="0" w:line="240" w:lineRule="auto"/>
        <w:jc w:val="left"/>
        <w:rPr>
          <w:rStyle w:val="51"/>
          <w:rFonts w:hint="eastAsia" w:ascii="宋体" w:hAnsi="宋体" w:eastAsia="宋体" w:cs="宋体"/>
          <w:sz w:val="24"/>
          <w:szCs w:val="24"/>
        </w:rPr>
      </w:pPr>
    </w:p>
    <w:p>
      <w:pPr>
        <w:spacing w:before="0" w:after="0"/>
        <w:ind w:left="1000" w:leftChars="500"/>
        <w:jc w:val="left"/>
        <w:rPr>
          <w:rFonts w:hint="eastAsia" w:ascii="宋体" w:hAnsi="宋体" w:eastAsia="宋体" w:cs="宋体"/>
          <w:bCs/>
          <w:spacing w:val="20"/>
          <w:sz w:val="24"/>
          <w:szCs w:val="24"/>
          <w:lang w:eastAsia="zh-CN"/>
        </w:rPr>
      </w:pPr>
      <w:r>
        <w:rPr>
          <w:rFonts w:hint="eastAsia" w:ascii="宋体" w:hAnsi="宋体" w:eastAsia="宋体" w:cs="宋体"/>
          <w:bCs/>
          <w:spacing w:val="20"/>
          <w:sz w:val="24"/>
          <w:szCs w:val="24"/>
        </w:rPr>
        <w:t>合同编号</w:t>
      </w:r>
      <w:r>
        <w:rPr>
          <w:rFonts w:hint="eastAsia" w:ascii="宋体" w:hAnsi="宋体" w:eastAsia="宋体" w:cs="宋体"/>
          <w:bCs/>
          <w:spacing w:val="20"/>
          <w:sz w:val="24"/>
          <w:szCs w:val="24"/>
          <w:lang w:eastAsia="zh-CN"/>
        </w:rPr>
        <w:t>：</w:t>
      </w:r>
    </w:p>
    <w:p>
      <w:pPr>
        <w:spacing w:before="0" w:after="0"/>
        <w:ind w:left="2400" w:leftChars="500" w:hanging="1400" w:hangingChars="500"/>
        <w:jc w:val="left"/>
        <w:rPr>
          <w:rFonts w:hint="eastAsia" w:ascii="宋体" w:hAnsi="宋体" w:eastAsia="宋体" w:cs="宋体"/>
          <w:bCs/>
          <w:spacing w:val="20"/>
          <w:sz w:val="24"/>
          <w:szCs w:val="24"/>
          <w:highlight w:val="none"/>
          <w:lang w:val="en-US" w:eastAsia="zh-CN"/>
        </w:rPr>
      </w:pPr>
      <w:r>
        <w:rPr>
          <w:rFonts w:hint="eastAsia" w:ascii="宋体" w:hAnsi="宋体" w:eastAsia="宋体" w:cs="宋体"/>
          <w:bCs/>
          <w:spacing w:val="20"/>
          <w:sz w:val="24"/>
          <w:szCs w:val="24"/>
        </w:rPr>
        <w:t>项目名称：</w:t>
      </w:r>
    </w:p>
    <w:p>
      <w:pPr>
        <w:spacing w:before="0" w:after="0"/>
        <w:ind w:left="1000" w:leftChars="500"/>
        <w:jc w:val="left"/>
        <w:rPr>
          <w:rFonts w:hint="eastAsia" w:ascii="宋体" w:hAnsi="宋体" w:eastAsia="宋体" w:cs="宋体"/>
          <w:bCs/>
          <w:spacing w:val="20"/>
          <w:sz w:val="24"/>
          <w:szCs w:val="24"/>
        </w:rPr>
      </w:pPr>
      <w:r>
        <w:rPr>
          <w:rFonts w:hint="eastAsia" w:ascii="宋体" w:hAnsi="宋体" w:eastAsia="宋体" w:cs="宋体"/>
          <w:bCs/>
          <w:spacing w:val="20"/>
          <w:sz w:val="24"/>
          <w:szCs w:val="24"/>
        </w:rPr>
        <w:t>甲    方：</w:t>
      </w:r>
      <w:r>
        <w:rPr>
          <w:rFonts w:hint="eastAsia" w:ascii="宋体" w:hAnsi="宋体" w:eastAsia="宋体" w:cs="宋体"/>
          <w:bCs/>
          <w:spacing w:val="20"/>
          <w:sz w:val="24"/>
          <w:szCs w:val="24"/>
          <w:highlight w:val="none"/>
          <w:lang w:eastAsia="zh-CN"/>
        </w:rPr>
        <w:t>中煤天津设计工程有限责任公司</w:t>
      </w:r>
    </w:p>
    <w:p>
      <w:pPr>
        <w:spacing w:before="0" w:after="0"/>
        <w:ind w:left="944" w:leftChars="472" w:firstLine="61" w:firstLineChars="22"/>
        <w:jc w:val="left"/>
        <w:rPr>
          <w:rFonts w:hint="eastAsia" w:ascii="宋体" w:hAnsi="宋体" w:eastAsia="宋体" w:cs="宋体"/>
          <w:bCs/>
          <w:spacing w:val="20"/>
          <w:sz w:val="24"/>
          <w:szCs w:val="24"/>
          <w:lang w:val="en-US" w:eastAsia="zh-CN"/>
        </w:rPr>
      </w:pPr>
      <w:r>
        <w:rPr>
          <w:rFonts w:hint="eastAsia" w:ascii="宋体" w:hAnsi="宋体" w:eastAsia="宋体" w:cs="宋体"/>
          <w:bCs/>
          <w:spacing w:val="20"/>
          <w:sz w:val="24"/>
          <w:szCs w:val="24"/>
        </w:rPr>
        <w:t>乙    方：</w:t>
      </w:r>
    </w:p>
    <w:p>
      <w:pPr>
        <w:spacing w:before="0" w:after="0"/>
        <w:ind w:left="944" w:leftChars="472" w:firstLine="61" w:firstLineChars="22"/>
        <w:jc w:val="left"/>
        <w:rPr>
          <w:rFonts w:hint="eastAsia" w:ascii="宋体" w:hAnsi="宋体" w:eastAsia="宋体" w:cs="宋体"/>
          <w:bCs/>
          <w:spacing w:val="20"/>
          <w:sz w:val="24"/>
          <w:szCs w:val="24"/>
        </w:rPr>
      </w:pPr>
      <w:r>
        <w:rPr>
          <w:rFonts w:hint="eastAsia" w:ascii="宋体" w:hAnsi="宋体" w:eastAsia="宋体" w:cs="宋体"/>
          <w:bCs/>
          <w:spacing w:val="20"/>
          <w:sz w:val="24"/>
          <w:szCs w:val="24"/>
        </w:rPr>
        <w:t>时    间：</w:t>
      </w:r>
    </w:p>
    <w:p>
      <w:pPr>
        <w:spacing w:before="0" w:after="0"/>
        <w:ind w:left="118" w:leftChars="59" w:firstLine="840" w:firstLineChars="300"/>
        <w:rPr>
          <w:rFonts w:hint="eastAsia" w:ascii="宋体" w:hAnsi="宋体" w:eastAsia="宋体" w:cs="宋体"/>
          <w:bCs/>
          <w:sz w:val="24"/>
          <w:szCs w:val="24"/>
          <w:highlight w:val="none"/>
          <w:lang w:eastAsia="zh-CN"/>
        </w:rPr>
      </w:pPr>
      <w:r>
        <w:rPr>
          <w:rFonts w:hint="eastAsia" w:ascii="宋体" w:hAnsi="宋体" w:eastAsia="宋体" w:cs="宋体"/>
          <w:bCs/>
          <w:spacing w:val="20"/>
          <w:sz w:val="24"/>
          <w:szCs w:val="24"/>
        </w:rPr>
        <w:t>地    点</w:t>
      </w:r>
      <w:r>
        <w:rPr>
          <w:rFonts w:hint="eastAsia" w:ascii="宋体" w:hAnsi="宋体" w:eastAsia="宋体" w:cs="宋体"/>
          <w:bCs/>
          <w:spacing w:val="20"/>
          <w:sz w:val="24"/>
          <w:szCs w:val="24"/>
          <w:highlight w:val="none"/>
        </w:rPr>
        <w:t>：</w:t>
      </w:r>
      <w:r>
        <w:rPr>
          <w:rFonts w:hint="eastAsia" w:ascii="宋体" w:hAnsi="宋体" w:eastAsia="宋体" w:cs="宋体"/>
          <w:bCs/>
          <w:sz w:val="24"/>
          <w:szCs w:val="24"/>
          <w:highlight w:val="none"/>
        </w:rPr>
        <w:t>中国·</w:t>
      </w:r>
      <w:r>
        <w:rPr>
          <w:rFonts w:hint="eastAsia" w:ascii="宋体" w:hAnsi="宋体" w:eastAsia="宋体" w:cs="宋体"/>
          <w:bCs/>
          <w:sz w:val="24"/>
          <w:szCs w:val="24"/>
          <w:highlight w:val="none"/>
          <w:lang w:val="en-US" w:eastAsia="zh-CN"/>
        </w:rPr>
        <w:t>天津</w:t>
      </w:r>
    </w:p>
    <w:p>
      <w:pPr>
        <w:spacing w:before="0" w:after="0"/>
        <w:jc w:val="center"/>
        <w:rPr>
          <w:rStyle w:val="51"/>
          <w:rFonts w:hint="eastAsia" w:asciiTheme="minorEastAsia" w:hAnsiTheme="minorEastAsia" w:eastAsiaTheme="minorEastAsia" w:cstheme="minorEastAsia"/>
          <w:sz w:val="24"/>
          <w:szCs w:val="24"/>
        </w:rPr>
      </w:pPr>
    </w:p>
    <w:p>
      <w:pPr>
        <w:spacing w:before="0" w:after="0"/>
        <w:ind w:left="1000" w:leftChars="500"/>
        <w:jc w:val="left"/>
        <w:rPr>
          <w:rFonts w:hint="eastAsia" w:asciiTheme="minorEastAsia" w:hAnsiTheme="minorEastAsia" w:eastAsiaTheme="minorEastAsia" w:cstheme="minorEastAsia"/>
          <w:bCs/>
          <w:spacing w:val="20"/>
          <w:sz w:val="24"/>
          <w:szCs w:val="24"/>
          <w:highlight w:val="none"/>
        </w:rPr>
        <w:sectPr>
          <w:headerReference r:id="rId4" w:type="default"/>
          <w:footerReference r:id="rId5" w:type="default"/>
          <w:pgSz w:w="11906" w:h="16838"/>
          <w:pgMar w:top="1474" w:right="1304" w:bottom="1474" w:left="1531" w:header="1135" w:footer="130" w:gutter="0"/>
          <w:pgBorders>
            <w:top w:val="none" w:sz="0" w:space="0"/>
            <w:left w:val="none" w:sz="0" w:space="0"/>
            <w:bottom w:val="none" w:sz="0" w:space="0"/>
            <w:right w:val="none" w:sz="0" w:space="0"/>
          </w:pgBorders>
          <w:pgNumType w:start="1"/>
          <w:cols w:space="72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pacing w:val="20"/>
          <w:sz w:val="24"/>
          <w:szCs w:val="24"/>
        </w:rPr>
      </w:pPr>
      <w:r>
        <w:rPr>
          <w:rFonts w:hint="eastAsia" w:asciiTheme="minorEastAsia" w:hAnsiTheme="minorEastAsia" w:eastAsiaTheme="minorEastAsia" w:cstheme="minorEastAsia"/>
          <w:bCs/>
          <w:color w:val="auto"/>
          <w:sz w:val="24"/>
          <w:szCs w:val="24"/>
        </w:rPr>
        <w:t>甲方：</w:t>
      </w:r>
      <w:r>
        <w:rPr>
          <w:rFonts w:hint="eastAsia" w:asciiTheme="minorEastAsia" w:hAnsiTheme="minorEastAsia" w:eastAsiaTheme="minorEastAsia" w:cstheme="minorEastAsia"/>
          <w:bCs/>
          <w:color w:val="auto"/>
          <w:spacing w:val="20"/>
          <w:sz w:val="24"/>
          <w:szCs w:val="24"/>
          <w:u w:val="single"/>
          <w:lang w:eastAsia="zh-CN"/>
        </w:rPr>
        <w:t>中煤天津设计工程有限责任公司</w:t>
      </w:r>
      <w:r>
        <w:rPr>
          <w:rFonts w:hint="eastAsia" w:asciiTheme="minorEastAsia" w:hAnsiTheme="minorEastAsia" w:eastAsiaTheme="minorEastAsia" w:cstheme="minorEastAsia"/>
          <w:bCs/>
          <w:color w:val="auto"/>
          <w:sz w:val="24"/>
          <w:szCs w:val="24"/>
          <w:u w:val="single"/>
        </w:rPr>
        <w:t>（以下简称“甲方”）</w:t>
      </w:r>
      <w:r>
        <w:rPr>
          <w:rFonts w:hint="eastAsia" w:asciiTheme="minorEastAsia" w:hAnsiTheme="minorEastAsia" w:eastAsiaTheme="minorEastAsia" w:cstheme="minorEastAsia"/>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法定地址：</w:t>
      </w:r>
      <w:r>
        <w:rPr>
          <w:rFonts w:hint="eastAsia" w:asciiTheme="minorEastAsia" w:hAnsiTheme="minorEastAsia" w:eastAsiaTheme="minorEastAsia" w:cstheme="minorEastAsia"/>
          <w:bCs/>
          <w:color w:val="auto"/>
          <w:sz w:val="24"/>
          <w:szCs w:val="24"/>
          <w:u w:val="single"/>
          <w:lang w:val="en-US" w:eastAsia="zh-CN"/>
        </w:rPr>
        <w:t xml:space="preserve"> </w:t>
      </w:r>
      <w:r>
        <w:rPr>
          <w:rFonts w:hint="eastAsia" w:asciiTheme="minorEastAsia" w:hAnsiTheme="minorEastAsia" w:eastAsiaTheme="minorEastAsia" w:cstheme="minorEastAsia"/>
          <w:bCs/>
          <w:color w:val="auto"/>
          <w:sz w:val="24"/>
          <w:szCs w:val="24"/>
          <w:u w:val="single"/>
          <w:lang w:eastAsia="zh-CN"/>
        </w:rPr>
        <w:t>天津市红桥区大丰路安顺大厦（水游城）</w:t>
      </w:r>
      <w:r>
        <w:rPr>
          <w:rFonts w:hint="eastAsia" w:asciiTheme="minorEastAsia" w:hAnsiTheme="minorEastAsia" w:eastAsiaTheme="minorEastAsia" w:cstheme="minorEastAsia"/>
          <w:bCs/>
          <w:color w:val="auto"/>
          <w:sz w:val="24"/>
          <w:szCs w:val="24"/>
          <w:u w:val="single"/>
          <w:lang w:val="en-US" w:eastAsia="zh-CN"/>
        </w:rPr>
        <w:t>3号楼</w:t>
      </w: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法定代表人：</w:t>
      </w:r>
      <w:r>
        <w:rPr>
          <w:rFonts w:hint="eastAsia" w:asciiTheme="minorEastAsia" w:hAnsiTheme="minorEastAsia" w:eastAsiaTheme="minorEastAsia" w:cstheme="minorEastAsia"/>
          <w:b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授权代表人：</w:t>
      </w:r>
      <w:r>
        <w:rPr>
          <w:rFonts w:hint="eastAsia" w:asciiTheme="minorEastAsia" w:hAnsiTheme="minorEastAsia" w:eastAsiaTheme="minorEastAsia" w:cstheme="minorEastAsia"/>
          <w:b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z w:val="24"/>
          <w:szCs w:val="24"/>
        </w:rPr>
      </w:pP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乙方：</w:t>
      </w:r>
      <w:r>
        <w:rPr>
          <w:rFonts w:hint="eastAsia" w:asciiTheme="minorEastAsia" w:hAnsiTheme="minorEastAsia" w:eastAsiaTheme="minorEastAsia" w:cstheme="minorEastAsia"/>
          <w:b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z w:val="24"/>
          <w:szCs w:val="24"/>
          <w:u w:val="single"/>
          <w:lang w:val="en-US" w:eastAsia="zh-CN"/>
        </w:rPr>
      </w:pPr>
      <w:r>
        <w:rPr>
          <w:rFonts w:hint="eastAsia" w:asciiTheme="minorEastAsia" w:hAnsiTheme="minorEastAsia" w:eastAsiaTheme="minorEastAsia" w:cstheme="minorEastAsia"/>
          <w:bCs/>
          <w:color w:val="auto"/>
          <w:sz w:val="24"/>
          <w:szCs w:val="24"/>
        </w:rPr>
        <w:t>法定地址：</w:t>
      </w:r>
      <w:r>
        <w:rPr>
          <w:rFonts w:hint="eastAsia" w:asciiTheme="minorEastAsia" w:hAnsiTheme="minorEastAsia" w:eastAsiaTheme="minorEastAsia" w:cstheme="minorEastAsia"/>
          <w:b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法定代表人：</w:t>
      </w:r>
      <w:r>
        <w:rPr>
          <w:rFonts w:hint="eastAsia" w:asciiTheme="minorEastAsia" w:hAnsiTheme="minorEastAsia" w:eastAsiaTheme="minorEastAsia" w:cstheme="minorEastAsia"/>
          <w:b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授权代表人：</w:t>
      </w:r>
      <w:r>
        <w:rPr>
          <w:rFonts w:hint="eastAsia" w:asciiTheme="minorEastAsia" w:hAnsiTheme="minorEastAsia" w:eastAsiaTheme="minorEastAsia" w:cstheme="minorEastAsia"/>
          <w:bCs/>
          <w:color w:val="auto"/>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color w:val="auto"/>
          <w:sz w:val="24"/>
          <w:szCs w:val="24"/>
          <w:u w:val="none"/>
        </w:rPr>
      </w:pP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color w:val="auto"/>
          <w:sz w:val="24"/>
          <w:szCs w:val="24"/>
          <w:u w:val="none"/>
        </w:rPr>
      </w:pPr>
      <w:r>
        <w:rPr>
          <w:rFonts w:hint="eastAsia" w:asciiTheme="minorEastAsia" w:hAnsiTheme="minorEastAsia" w:eastAsiaTheme="minorEastAsia" w:cstheme="minorEastAsia"/>
          <w:bCs/>
          <w:color w:val="auto"/>
          <w:sz w:val="24"/>
          <w:szCs w:val="24"/>
          <w:u w:val="none"/>
        </w:rPr>
        <w:t>甲方委托乙方进行</w:t>
      </w:r>
      <w:r>
        <w:rPr>
          <w:rFonts w:hint="eastAsia" w:asciiTheme="minorEastAsia" w:hAnsiTheme="minorEastAsia" w:eastAsiaTheme="minorEastAsia" w:cstheme="minorEastAsia"/>
          <w:bCs/>
          <w:color w:val="auto"/>
          <w:sz w:val="24"/>
          <w:szCs w:val="24"/>
          <w:u w:val="single"/>
          <w:lang w:val="en-US" w:eastAsia="zh-CN"/>
        </w:rPr>
        <w:t>中国中煤能源集团有限公司xxxxxx项目xxxxxxxxxxxx分包</w:t>
      </w:r>
      <w:r>
        <w:rPr>
          <w:rFonts w:hint="eastAsia" w:asciiTheme="minorEastAsia" w:hAnsiTheme="minorEastAsia" w:eastAsiaTheme="minorEastAsia" w:cstheme="minorEastAsia"/>
          <w:bCs/>
          <w:color w:val="auto"/>
          <w:sz w:val="24"/>
          <w:szCs w:val="24"/>
          <w:u w:val="single"/>
        </w:rPr>
        <w:t>项目</w:t>
      </w:r>
      <w:r>
        <w:rPr>
          <w:rFonts w:hint="eastAsia" w:asciiTheme="minorEastAsia" w:hAnsiTheme="minorEastAsia" w:eastAsiaTheme="minorEastAsia" w:cstheme="minorEastAsia"/>
          <w:bCs/>
          <w:color w:val="auto"/>
          <w:sz w:val="24"/>
          <w:szCs w:val="24"/>
          <w:u w:val="none"/>
        </w:rPr>
        <w:t>的</w:t>
      </w:r>
      <w:r>
        <w:rPr>
          <w:rFonts w:hint="eastAsia" w:asciiTheme="minorEastAsia" w:hAnsiTheme="minorEastAsia" w:eastAsiaTheme="minorEastAsia" w:cstheme="minorEastAsia"/>
          <w:bCs/>
          <w:color w:val="auto"/>
          <w:sz w:val="24"/>
          <w:szCs w:val="24"/>
          <w:u w:val="none"/>
          <w:lang w:val="en-US" w:eastAsia="zh-CN"/>
        </w:rPr>
        <w:t>采购、安装、调试、培训等工作</w:t>
      </w:r>
      <w:r>
        <w:rPr>
          <w:rFonts w:hint="eastAsia" w:asciiTheme="minorEastAsia" w:hAnsiTheme="minorEastAsia" w:eastAsiaTheme="minorEastAsia" w:cstheme="minorEastAsia"/>
          <w:bCs/>
          <w:color w:val="auto"/>
          <w:sz w:val="24"/>
          <w:szCs w:val="24"/>
          <w:u w:val="none"/>
        </w:rPr>
        <w:t>，</w:t>
      </w:r>
      <w:r>
        <w:rPr>
          <w:rFonts w:hint="eastAsia" w:asciiTheme="minorEastAsia" w:hAnsiTheme="minorEastAsia" w:eastAsiaTheme="minorEastAsia" w:cstheme="minorEastAsia"/>
          <w:bCs/>
          <w:color w:val="auto"/>
          <w:sz w:val="24"/>
          <w:szCs w:val="24"/>
          <w:u w:val="none"/>
          <w:lang w:val="en-US" w:eastAsia="zh-CN"/>
        </w:rPr>
        <w:t>双方</w:t>
      </w:r>
      <w:r>
        <w:rPr>
          <w:rFonts w:hint="eastAsia" w:asciiTheme="minorEastAsia" w:hAnsiTheme="minorEastAsia" w:eastAsiaTheme="minorEastAsia" w:cstheme="minorEastAsia"/>
          <w:bCs/>
          <w:color w:val="auto"/>
          <w:sz w:val="24"/>
          <w:szCs w:val="24"/>
          <w:u w:val="none"/>
        </w:rPr>
        <w:t>本着</w:t>
      </w:r>
      <w:r>
        <w:rPr>
          <w:rFonts w:hint="eastAsia" w:asciiTheme="minorEastAsia" w:hAnsiTheme="minorEastAsia" w:eastAsiaTheme="minorEastAsia" w:cstheme="minorEastAsia"/>
          <w:bCs/>
          <w:color w:val="auto"/>
          <w:sz w:val="24"/>
          <w:szCs w:val="24"/>
          <w:u w:val="none"/>
          <w:lang w:val="en-US" w:eastAsia="zh-CN"/>
        </w:rPr>
        <w:t>平等、</w:t>
      </w:r>
      <w:r>
        <w:rPr>
          <w:rFonts w:hint="eastAsia" w:asciiTheme="minorEastAsia" w:hAnsiTheme="minorEastAsia" w:eastAsiaTheme="minorEastAsia" w:cstheme="minorEastAsia"/>
          <w:bCs/>
          <w:color w:val="auto"/>
          <w:sz w:val="24"/>
          <w:szCs w:val="24"/>
          <w:u w:val="none"/>
        </w:rPr>
        <w:t>自愿</w:t>
      </w:r>
      <w:r>
        <w:rPr>
          <w:rFonts w:hint="eastAsia" w:asciiTheme="minorEastAsia" w:hAnsiTheme="minorEastAsia" w:eastAsiaTheme="minorEastAsia" w:cstheme="minorEastAsia"/>
          <w:bCs/>
          <w:color w:val="auto"/>
          <w:sz w:val="24"/>
          <w:szCs w:val="24"/>
          <w:u w:val="none"/>
          <w:lang w:eastAsia="zh-CN"/>
        </w:rPr>
        <w:t>、</w:t>
      </w:r>
      <w:r>
        <w:rPr>
          <w:rFonts w:hint="eastAsia" w:asciiTheme="minorEastAsia" w:hAnsiTheme="minorEastAsia" w:eastAsiaTheme="minorEastAsia" w:cstheme="minorEastAsia"/>
          <w:bCs/>
          <w:color w:val="auto"/>
          <w:sz w:val="24"/>
          <w:szCs w:val="24"/>
          <w:u w:val="none"/>
        </w:rPr>
        <w:t>公平</w:t>
      </w:r>
      <w:r>
        <w:rPr>
          <w:rFonts w:hint="eastAsia" w:asciiTheme="minorEastAsia" w:hAnsiTheme="minorEastAsia" w:eastAsiaTheme="minorEastAsia" w:cstheme="minorEastAsia"/>
          <w:bCs/>
          <w:color w:val="auto"/>
          <w:sz w:val="24"/>
          <w:szCs w:val="24"/>
          <w:u w:val="none"/>
          <w:lang w:val="en-US" w:eastAsia="zh-CN"/>
        </w:rPr>
        <w:t>和</w:t>
      </w:r>
      <w:r>
        <w:rPr>
          <w:rFonts w:hint="eastAsia" w:asciiTheme="minorEastAsia" w:hAnsiTheme="minorEastAsia" w:eastAsiaTheme="minorEastAsia" w:cstheme="minorEastAsia"/>
          <w:bCs/>
          <w:color w:val="auto"/>
          <w:sz w:val="24"/>
          <w:szCs w:val="24"/>
          <w:u w:val="none"/>
        </w:rPr>
        <w:t>诚实信用的原则，根据《中华人民共和国民法典》及国家</w:t>
      </w:r>
      <w:r>
        <w:rPr>
          <w:rFonts w:hint="eastAsia" w:asciiTheme="minorEastAsia" w:hAnsiTheme="minorEastAsia" w:eastAsiaTheme="minorEastAsia" w:cstheme="minorEastAsia"/>
          <w:bCs/>
          <w:color w:val="auto"/>
          <w:sz w:val="24"/>
          <w:szCs w:val="24"/>
          <w:u w:val="none"/>
          <w:lang w:val="en-US" w:eastAsia="zh-CN"/>
        </w:rPr>
        <w:t>和北京现行的</w:t>
      </w:r>
      <w:r>
        <w:rPr>
          <w:rFonts w:hint="eastAsia" w:asciiTheme="minorEastAsia" w:hAnsiTheme="minorEastAsia" w:eastAsiaTheme="minorEastAsia" w:cstheme="minorEastAsia"/>
          <w:bCs/>
          <w:color w:val="auto"/>
          <w:sz w:val="24"/>
          <w:szCs w:val="24"/>
          <w:u w:val="none"/>
        </w:rPr>
        <w:t>有关法律</w:t>
      </w:r>
      <w:r>
        <w:rPr>
          <w:rFonts w:hint="eastAsia" w:asciiTheme="minorEastAsia" w:hAnsiTheme="minorEastAsia" w:eastAsiaTheme="minorEastAsia" w:cstheme="minorEastAsia"/>
          <w:bCs/>
          <w:color w:val="auto"/>
          <w:sz w:val="24"/>
          <w:szCs w:val="24"/>
          <w:u w:val="none"/>
          <w:lang w:eastAsia="zh-CN"/>
        </w:rPr>
        <w:t>、</w:t>
      </w:r>
      <w:r>
        <w:rPr>
          <w:rFonts w:hint="eastAsia" w:asciiTheme="minorEastAsia" w:hAnsiTheme="minorEastAsia" w:eastAsiaTheme="minorEastAsia" w:cstheme="minorEastAsia"/>
          <w:bCs/>
          <w:color w:val="auto"/>
          <w:sz w:val="24"/>
          <w:szCs w:val="24"/>
          <w:u w:val="none"/>
        </w:rPr>
        <w:t>法规</w:t>
      </w:r>
      <w:r>
        <w:rPr>
          <w:rFonts w:hint="eastAsia" w:asciiTheme="minorEastAsia" w:hAnsiTheme="minorEastAsia" w:eastAsiaTheme="minorEastAsia" w:cstheme="minorEastAsia"/>
          <w:bCs/>
          <w:color w:val="auto"/>
          <w:sz w:val="24"/>
          <w:szCs w:val="24"/>
          <w:u w:val="none"/>
          <w:lang w:val="en-US" w:eastAsia="zh-CN"/>
        </w:rPr>
        <w:t>等</w:t>
      </w:r>
      <w:r>
        <w:rPr>
          <w:rFonts w:hint="eastAsia" w:asciiTheme="minorEastAsia" w:hAnsiTheme="minorEastAsia" w:eastAsiaTheme="minorEastAsia" w:cstheme="minorEastAsia"/>
          <w:bCs/>
          <w:color w:val="auto"/>
          <w:sz w:val="24"/>
          <w:szCs w:val="24"/>
          <w:u w:val="none"/>
        </w:rPr>
        <w:t>，结合本项目具体情况，为明确责任，协作配合，确保成果质量，经双方协商一致，</w:t>
      </w:r>
      <w:r>
        <w:rPr>
          <w:rFonts w:hint="eastAsia" w:asciiTheme="minorEastAsia" w:hAnsiTheme="minorEastAsia" w:eastAsiaTheme="minorEastAsia" w:cstheme="minorEastAsia"/>
          <w:bCs/>
          <w:color w:val="auto"/>
          <w:sz w:val="24"/>
          <w:szCs w:val="24"/>
          <w:u w:val="none"/>
          <w:lang w:val="en-US" w:eastAsia="zh-CN"/>
        </w:rPr>
        <w:t>共同</w:t>
      </w:r>
      <w:r>
        <w:rPr>
          <w:rFonts w:hint="eastAsia" w:asciiTheme="minorEastAsia" w:hAnsiTheme="minorEastAsia" w:eastAsiaTheme="minorEastAsia" w:cstheme="minorEastAsia"/>
          <w:bCs/>
          <w:color w:val="auto"/>
          <w:sz w:val="24"/>
          <w:szCs w:val="24"/>
          <w:u w:val="none"/>
        </w:rPr>
        <w:t>达成以下条款。</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rPr>
      </w:pP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rPr>
      </w:pPr>
      <w:bookmarkStart w:id="128" w:name="_Toc207525263"/>
      <w:bookmarkStart w:id="129" w:name="_Toc204763752"/>
      <w:bookmarkStart w:id="130" w:name="_Toc512687979"/>
      <w:r>
        <w:rPr>
          <w:rFonts w:hint="eastAsia" w:asciiTheme="minorEastAsia" w:hAnsiTheme="minorEastAsia" w:eastAsiaTheme="minorEastAsia" w:cstheme="minorEastAsia"/>
          <w:b w:val="0"/>
          <w:sz w:val="24"/>
          <w:szCs w:val="24"/>
        </w:rPr>
        <w:t>一、定义</w:t>
      </w:r>
      <w:bookmarkEnd w:id="128"/>
      <w:bookmarkEnd w:id="129"/>
      <w:bookmarkEnd w:id="130"/>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第1条 本合同下列术语应解释为：</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bookmarkStart w:id="131" w:name="_Toc512687980"/>
      <w:bookmarkStart w:id="132" w:name="_Toc204763753"/>
      <w:bookmarkStart w:id="133" w:name="_Toc207525264"/>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“合同”系指经甲乙双方签署的双方所达成的协议，包括所有的附件、附录和上述文件所提到的构成合同的所有文件。</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“合同金额”系指根据本合同规定，乙方完全履行合同约定的义务后，甲方应支付给乙方的费用总额。</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“合同条款”系指本合同中所列的各种要求、约定及说明条款。</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rPr>
        <w:t>“日”系指日历日。合同中以天计算时间的，开始当天不计入，从次日开始计算。协议约定的期间的最后一天是星期日或者其他法定休假日的，以休假日的次日为期间的最后一天。</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rPr>
        <w:t>“合同附件”系指本合同中所列举的附件文本，作为合同的组成部分。</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6.</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lang w:val="en-US" w:eastAsia="zh-CN"/>
        </w:rPr>
        <w:t>项目最终验收</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lang w:val="en-US" w:eastAsia="zh-CN"/>
        </w:rPr>
        <w:t>系指完成本合同中所约定的全部工作内容，并通过甲方验收。</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二、声明与承诺</w:t>
      </w:r>
      <w:bookmarkEnd w:id="131"/>
      <w:bookmarkEnd w:id="132"/>
      <w:bookmarkEnd w:id="133"/>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bookmarkStart w:id="134" w:name="_Toc207525265"/>
      <w:bookmarkStart w:id="135" w:name="_Toc204763754"/>
      <w:bookmarkStart w:id="136" w:name="_Toc512687981"/>
      <w:r>
        <w:rPr>
          <w:rFonts w:hint="eastAsia" w:asciiTheme="minorEastAsia" w:hAnsiTheme="minorEastAsia" w:eastAsiaTheme="minorEastAsia" w:cstheme="minorEastAsia"/>
          <w:bCs/>
          <w:sz w:val="24"/>
          <w:szCs w:val="24"/>
          <w:highlight w:val="none"/>
        </w:rPr>
        <w:t>第2条 甲乙双方经充分协商，在对合同条款达成一致意见后签订本合同。签订本合同意味着乙方已经充分理解了甲方有关本项目的全部意图和要求，乙方承诺接受本合同条款的各项约定，并按照甲方要求履行义务。</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第3条 甲方承诺，在合同履行期间对乙方的工作提供必要的协助和支持，并保证在乙方工作质量符合要求的前提下，按期支付相应款项。</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三、适用法律</w:t>
      </w:r>
      <w:bookmarkEnd w:id="134"/>
      <w:bookmarkEnd w:id="135"/>
      <w:bookmarkEnd w:id="136"/>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bookmarkStart w:id="137" w:name="_Toc512687982"/>
      <w:bookmarkStart w:id="138" w:name="_Toc204763755"/>
      <w:bookmarkStart w:id="139" w:name="_Toc207525266"/>
      <w:r>
        <w:rPr>
          <w:rFonts w:hint="eastAsia" w:asciiTheme="minorEastAsia" w:hAnsiTheme="minorEastAsia" w:eastAsiaTheme="minorEastAsia" w:cstheme="minorEastAsia"/>
          <w:bCs/>
          <w:sz w:val="24"/>
          <w:szCs w:val="24"/>
          <w:highlight w:val="none"/>
        </w:rPr>
        <w:t>第4条 本合同适用《中华人民共和国民法典》及知识产权法等相关法律法规。</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四、合同金额及标的内容</w:t>
      </w:r>
      <w:bookmarkEnd w:id="137"/>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第</w:t>
      </w: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rPr>
        <w:t>条 合同总价</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color w:val="auto"/>
          <w:sz w:val="24"/>
          <w:szCs w:val="24"/>
          <w:highlight w:val="none"/>
        </w:rPr>
        <w:t>乙方为甲方提供合同约定的服务，甲方给乙方合同总额为人民币</w:t>
      </w:r>
      <w:r>
        <w:rPr>
          <w:rFonts w:hint="eastAsia" w:asciiTheme="minorEastAsia" w:hAnsiTheme="minorEastAsia" w:eastAsiaTheme="minorEastAsia" w:cstheme="minorEastAsia"/>
          <w:bCs/>
          <w:sz w:val="24"/>
          <w:szCs w:val="24"/>
          <w:highlight w:val="none"/>
        </w:rPr>
        <w:t>（含税）</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 xml:space="preserve">     元</w:t>
      </w:r>
      <w:r>
        <w:rPr>
          <w:rFonts w:hint="eastAsia" w:asciiTheme="minorEastAsia" w:hAnsiTheme="minorEastAsia" w:eastAsiaTheme="minorEastAsia" w:cstheme="minorEastAsia"/>
          <w:bCs/>
          <w:sz w:val="24"/>
          <w:szCs w:val="24"/>
          <w:highlight w:val="none"/>
          <w:u w:val="none"/>
        </w:rPr>
        <w:t>（</w:t>
      </w:r>
      <w:r>
        <w:rPr>
          <w:rFonts w:hint="eastAsia" w:asciiTheme="minorEastAsia" w:hAnsiTheme="minorEastAsia" w:eastAsiaTheme="minorEastAsia" w:cstheme="minorEastAsia"/>
          <w:bCs/>
          <w:sz w:val="24"/>
          <w:szCs w:val="24"/>
          <w:highlight w:val="none"/>
          <w:u w:val="single"/>
        </w:rPr>
        <w:t>人民币大写：贰仟玖佰捌拾陆万元整</w:t>
      </w:r>
      <w:r>
        <w:rPr>
          <w:rFonts w:hint="eastAsia" w:asciiTheme="minorEastAsia" w:hAnsiTheme="minorEastAsia" w:eastAsiaTheme="minorEastAsia" w:cstheme="minorEastAsia"/>
          <w:bCs/>
          <w:color w:val="auto"/>
          <w:sz w:val="24"/>
          <w:szCs w:val="24"/>
          <w:highlight w:val="none"/>
        </w:rPr>
        <w:t>）。</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其中：</w:t>
      </w:r>
    </w:p>
    <w:p>
      <w:pPr>
        <w:keepNext w:val="0"/>
        <w:keepLines w:val="0"/>
        <w:pageBreakBefore w:val="0"/>
        <w:kinsoku/>
        <w:wordWrap/>
        <w:overflowPunct/>
        <w:topLinePunct w:val="0"/>
        <w:autoSpaceDE/>
        <w:autoSpaceDN/>
        <w:bidi w:val="0"/>
        <w:adjustRightInd/>
        <w:snapToGrid/>
        <w:spacing w:before="0" w:after="0" w:line="560" w:lineRule="exact"/>
        <w:ind w:left="250" w:leftChars="125" w:firstLine="240" w:firstLineChars="1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sz w:val="24"/>
          <w:szCs w:val="24"/>
          <w:highlight w:val="none"/>
          <w:lang w:val="en-US" w:eastAsia="zh-CN"/>
        </w:rPr>
        <w:t>1.设备及材料费</w:t>
      </w:r>
      <w:r>
        <w:rPr>
          <w:rFonts w:hint="eastAsia" w:asciiTheme="minorEastAsia" w:hAnsiTheme="minorEastAsia" w:eastAsiaTheme="minorEastAsia" w:cstheme="minorEastAsia"/>
          <w:bCs/>
          <w:sz w:val="24"/>
          <w:szCs w:val="24"/>
          <w:highlight w:val="none"/>
        </w:rPr>
        <w:t>金额（含税，税率13%）</w:t>
      </w:r>
      <w:r>
        <w:rPr>
          <w:rFonts w:hint="eastAsia" w:asciiTheme="minorEastAsia" w:hAnsiTheme="minorEastAsia" w:eastAsiaTheme="minorEastAsia" w:cstheme="minorEastAsia"/>
          <w:bCs/>
          <w:color w:val="auto"/>
          <w:sz w:val="24"/>
          <w:szCs w:val="24"/>
          <w:highlight w:val="none"/>
          <w:lang w:val="en-US" w:eastAsia="zh-CN"/>
        </w:rPr>
        <w:t>¥    元</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bCs/>
          <w:sz w:val="24"/>
          <w:szCs w:val="24"/>
          <w:highlight w:val="none"/>
          <w:u w:val="single"/>
        </w:rPr>
        <w:t>人民币大写：</w:t>
      </w:r>
      <w:r>
        <w:rPr>
          <w:rFonts w:hint="eastAsia" w:asciiTheme="minorEastAsia" w:hAnsiTheme="minorEastAsia" w:eastAsiaTheme="minorEastAsia" w:cstheme="minorEastAsia"/>
          <w:bCs/>
          <w:sz w:val="24"/>
          <w:szCs w:val="24"/>
          <w:highlight w:val="none"/>
          <w:u w:val="single"/>
          <w:lang w:val="en-US" w:eastAsia="zh-CN"/>
        </w:rPr>
        <w:t>xxxxxxx</w:t>
      </w:r>
      <w:r>
        <w:rPr>
          <w:rFonts w:hint="eastAsia" w:asciiTheme="minorEastAsia" w:hAnsiTheme="minorEastAsia" w:eastAsiaTheme="minorEastAsia" w:cstheme="minorEastAsia"/>
          <w:bCs/>
          <w:sz w:val="24"/>
          <w:szCs w:val="24"/>
          <w:highlight w:val="none"/>
          <w:u w:val="single"/>
        </w:rPr>
        <w:t>整</w:t>
      </w:r>
      <w:r>
        <w:rPr>
          <w:rFonts w:hint="eastAsia" w:asciiTheme="minorEastAsia" w:hAnsiTheme="minorEastAsia" w:eastAsiaTheme="minorEastAsia" w:cstheme="minorEastAsia"/>
          <w:bCs/>
          <w:sz w:val="24"/>
          <w:szCs w:val="24"/>
          <w:highlight w:val="none"/>
        </w:rPr>
        <w:t>），不含税金额为</w:t>
      </w:r>
      <w:r>
        <w:rPr>
          <w:rFonts w:hint="eastAsia" w:asciiTheme="minorEastAsia" w:hAnsiTheme="minorEastAsia" w:eastAsiaTheme="minorEastAsia" w:cstheme="minorEastAsia"/>
          <w:bCs/>
          <w:color w:val="auto"/>
          <w:sz w:val="24"/>
          <w:szCs w:val="24"/>
          <w:highlight w:val="none"/>
          <w:lang w:val="en-US" w:eastAsia="zh-CN"/>
        </w:rPr>
        <w:t>¥</w:t>
      </w:r>
      <w:r>
        <w:rPr>
          <w:rFonts w:hint="eastAsia" w:asciiTheme="minorEastAsia" w:hAnsiTheme="minorEastAsia" w:eastAsiaTheme="minorEastAsia" w:cstheme="minorEastAsia"/>
          <w:bCs/>
          <w:sz w:val="24"/>
          <w:szCs w:val="24"/>
          <w:highlight w:val="none"/>
          <w:u w:val="single"/>
          <w:lang w:val="en-US" w:eastAsia="zh-CN"/>
        </w:rPr>
        <w:t>xxxxxxx</w:t>
      </w:r>
      <w:r>
        <w:rPr>
          <w:rFonts w:hint="eastAsia" w:asciiTheme="minorEastAsia" w:hAnsiTheme="minorEastAsia" w:eastAsiaTheme="minorEastAsia" w:cstheme="minorEastAsia"/>
          <w:bCs/>
          <w:color w:val="auto"/>
          <w:sz w:val="24"/>
          <w:szCs w:val="24"/>
          <w:highlight w:val="none"/>
          <w:lang w:val="en-US" w:eastAsia="zh-CN"/>
        </w:rPr>
        <w:t>元</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bCs/>
          <w:sz w:val="24"/>
          <w:szCs w:val="24"/>
          <w:highlight w:val="none"/>
          <w:u w:val="single"/>
        </w:rPr>
        <w:t>人民币大写</w:t>
      </w:r>
      <w:r>
        <w:rPr>
          <w:rFonts w:hint="eastAsia" w:asciiTheme="minorEastAsia" w:hAnsiTheme="minorEastAsia" w:eastAsiaTheme="minorEastAsia" w:cstheme="minorEastAsia"/>
          <w:bCs/>
          <w:sz w:val="24"/>
          <w:szCs w:val="24"/>
          <w:highlight w:val="none"/>
          <w:u w:val="single"/>
          <w:lang w:eastAsia="zh-CN"/>
        </w:rPr>
        <w:t>：</w:t>
      </w:r>
      <w:r>
        <w:rPr>
          <w:rFonts w:hint="eastAsia" w:asciiTheme="minorEastAsia" w:hAnsiTheme="minorEastAsia" w:eastAsiaTheme="minorEastAsia" w:cstheme="minorEastAsia"/>
          <w:bCs/>
          <w:sz w:val="24"/>
          <w:szCs w:val="24"/>
          <w:highlight w:val="none"/>
          <w:u w:val="single"/>
          <w:lang w:val="en-US" w:eastAsia="zh-CN"/>
        </w:rPr>
        <w:t>xxxxxxx</w:t>
      </w:r>
      <w:r>
        <w:rPr>
          <w:rFonts w:hint="eastAsia" w:asciiTheme="minorEastAsia" w:hAnsiTheme="minorEastAsia" w:eastAsiaTheme="minorEastAsia" w:cstheme="minorEastAsia"/>
          <w:bCs/>
          <w:sz w:val="24"/>
          <w:szCs w:val="24"/>
          <w:highlight w:val="none"/>
          <w:u w:val="single"/>
        </w:rPr>
        <w:t>整</w:t>
      </w:r>
      <w:r>
        <w:rPr>
          <w:rFonts w:hint="eastAsia" w:asciiTheme="minorEastAsia" w:hAnsiTheme="minorEastAsia" w:eastAsiaTheme="minorEastAsia" w:cstheme="minorEastAsia"/>
          <w:bCs/>
          <w:sz w:val="24"/>
          <w:szCs w:val="24"/>
          <w:highlight w:val="none"/>
        </w:rPr>
        <w:t>）；</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
          <w:bCs w:val="0"/>
          <w:sz w:val="24"/>
          <w:szCs w:val="24"/>
          <w:highlight w:val="none"/>
          <w:lang w:val="en-US" w:eastAsia="zh-CN"/>
        </w:rPr>
        <w:t>2.安装调试费金额</w:t>
      </w:r>
      <w:r>
        <w:rPr>
          <w:rFonts w:hint="eastAsia" w:asciiTheme="minorEastAsia" w:hAnsiTheme="minorEastAsia" w:eastAsiaTheme="minorEastAsia" w:cstheme="minorEastAsia"/>
          <w:bCs/>
          <w:sz w:val="24"/>
          <w:szCs w:val="24"/>
          <w:highlight w:val="none"/>
          <w:lang w:val="en-US" w:eastAsia="zh-CN"/>
        </w:rPr>
        <w:t>（</w:t>
      </w:r>
      <w:r>
        <w:rPr>
          <w:rFonts w:hint="eastAsia" w:asciiTheme="minorEastAsia" w:hAnsiTheme="minorEastAsia" w:eastAsiaTheme="minorEastAsia" w:cstheme="minorEastAsia"/>
          <w:bCs/>
          <w:sz w:val="24"/>
          <w:szCs w:val="24"/>
          <w:highlight w:val="none"/>
        </w:rPr>
        <w:t>含税，税率</w:t>
      </w:r>
      <w:r>
        <w:rPr>
          <w:rFonts w:hint="eastAsia" w:asciiTheme="minorEastAsia" w:hAnsiTheme="minorEastAsia" w:eastAsiaTheme="minorEastAsia" w:cstheme="minorEastAsia"/>
          <w:bCs/>
          <w:sz w:val="24"/>
          <w:szCs w:val="24"/>
          <w:highlight w:val="none"/>
          <w:lang w:val="en-US" w:eastAsia="zh-CN"/>
        </w:rPr>
        <w:t>9</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bCs/>
          <w:sz w:val="24"/>
          <w:szCs w:val="24"/>
          <w:highlight w:val="none"/>
          <w:lang w:val="en-US" w:eastAsia="zh-CN"/>
        </w:rPr>
        <w:t>）</w:t>
      </w:r>
      <w:r>
        <w:rPr>
          <w:rFonts w:hint="eastAsia" w:asciiTheme="minorEastAsia" w:hAnsiTheme="minorEastAsia" w:eastAsiaTheme="minorEastAsia" w:cstheme="minorEastAsia"/>
          <w:bCs/>
          <w:color w:val="auto"/>
          <w:sz w:val="24"/>
          <w:szCs w:val="24"/>
          <w:highlight w:val="none"/>
          <w:lang w:val="en-US" w:eastAsia="zh-CN"/>
        </w:rPr>
        <w:t>¥</w:t>
      </w:r>
      <w:r>
        <w:rPr>
          <w:rFonts w:hint="eastAsia" w:asciiTheme="minorEastAsia" w:hAnsiTheme="minorEastAsia" w:eastAsiaTheme="minorEastAsia" w:cstheme="minorEastAsia"/>
          <w:bCs/>
          <w:sz w:val="24"/>
          <w:szCs w:val="24"/>
          <w:highlight w:val="none"/>
          <w:u w:val="single"/>
          <w:lang w:val="en-US" w:eastAsia="zh-CN"/>
        </w:rPr>
        <w:t>xxxxxxx</w:t>
      </w:r>
      <w:r>
        <w:rPr>
          <w:rFonts w:hint="eastAsia" w:asciiTheme="minorEastAsia" w:hAnsiTheme="minorEastAsia" w:eastAsiaTheme="minorEastAsia" w:cstheme="minorEastAsia"/>
          <w:bCs/>
          <w:color w:val="auto"/>
          <w:sz w:val="24"/>
          <w:szCs w:val="24"/>
          <w:highlight w:val="none"/>
          <w:lang w:val="en-US" w:eastAsia="zh-CN"/>
        </w:rPr>
        <w:t>元</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bCs/>
          <w:sz w:val="24"/>
          <w:szCs w:val="24"/>
          <w:highlight w:val="none"/>
          <w:u w:val="single"/>
        </w:rPr>
        <w:t>人民币大写：</w:t>
      </w:r>
      <w:r>
        <w:rPr>
          <w:rFonts w:hint="eastAsia" w:asciiTheme="minorEastAsia" w:hAnsiTheme="minorEastAsia" w:eastAsiaTheme="minorEastAsia" w:cstheme="minorEastAsia"/>
          <w:bCs/>
          <w:sz w:val="24"/>
          <w:szCs w:val="24"/>
          <w:highlight w:val="none"/>
          <w:u w:val="single"/>
          <w:lang w:val="en-US" w:eastAsia="zh-CN"/>
        </w:rPr>
        <w:t>xxxxxxx</w:t>
      </w:r>
      <w:r>
        <w:rPr>
          <w:rFonts w:hint="eastAsia" w:asciiTheme="minorEastAsia" w:hAnsiTheme="minorEastAsia" w:eastAsiaTheme="minorEastAsia" w:cstheme="minorEastAsia"/>
          <w:bCs/>
          <w:sz w:val="24"/>
          <w:szCs w:val="24"/>
          <w:highlight w:val="none"/>
          <w:u w:val="single"/>
        </w:rPr>
        <w:t>整</w:t>
      </w:r>
      <w:r>
        <w:rPr>
          <w:rFonts w:hint="eastAsia" w:asciiTheme="minorEastAsia" w:hAnsiTheme="minorEastAsia" w:eastAsiaTheme="minorEastAsia" w:cstheme="minorEastAsia"/>
          <w:bCs/>
          <w:sz w:val="24"/>
          <w:szCs w:val="24"/>
          <w:highlight w:val="none"/>
        </w:rPr>
        <w:t>），不含税金额为</w:t>
      </w:r>
      <w:r>
        <w:rPr>
          <w:rFonts w:hint="eastAsia" w:asciiTheme="minorEastAsia" w:hAnsiTheme="minorEastAsia" w:eastAsiaTheme="minorEastAsia" w:cstheme="minorEastAsia"/>
          <w:bCs/>
          <w:color w:val="auto"/>
          <w:sz w:val="24"/>
          <w:szCs w:val="24"/>
          <w:highlight w:val="none"/>
          <w:lang w:val="en-US" w:eastAsia="zh-CN"/>
        </w:rPr>
        <w:t>¥</w:t>
      </w:r>
      <w:r>
        <w:rPr>
          <w:rFonts w:hint="eastAsia" w:asciiTheme="minorEastAsia" w:hAnsiTheme="minorEastAsia" w:eastAsiaTheme="minorEastAsia" w:cstheme="minorEastAsia"/>
          <w:bCs/>
          <w:sz w:val="24"/>
          <w:szCs w:val="24"/>
          <w:highlight w:val="none"/>
          <w:u w:val="single"/>
          <w:lang w:val="en-US" w:eastAsia="zh-CN"/>
        </w:rPr>
        <w:t>xxxxxxx</w:t>
      </w:r>
      <w:r>
        <w:rPr>
          <w:rFonts w:hint="eastAsia" w:asciiTheme="minorEastAsia" w:hAnsiTheme="minorEastAsia" w:eastAsiaTheme="minorEastAsia" w:cstheme="minorEastAsia"/>
          <w:bCs/>
          <w:color w:val="auto"/>
          <w:sz w:val="24"/>
          <w:szCs w:val="24"/>
          <w:highlight w:val="none"/>
          <w:lang w:val="en-US" w:eastAsia="zh-CN"/>
        </w:rPr>
        <w:t>元</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bCs/>
          <w:sz w:val="24"/>
          <w:szCs w:val="24"/>
          <w:highlight w:val="none"/>
          <w:u w:val="single"/>
        </w:rPr>
        <w:t>人民币大写：</w:t>
      </w:r>
      <w:r>
        <w:rPr>
          <w:rFonts w:hint="eastAsia" w:asciiTheme="minorEastAsia" w:hAnsiTheme="minorEastAsia" w:eastAsiaTheme="minorEastAsia" w:cstheme="minorEastAsia"/>
          <w:bCs/>
          <w:sz w:val="24"/>
          <w:szCs w:val="24"/>
          <w:highlight w:val="none"/>
          <w:u w:val="single"/>
          <w:lang w:val="en-US" w:eastAsia="zh-CN"/>
        </w:rPr>
        <w:t>贰xxxxxxx整</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yellow"/>
        </w:rPr>
      </w:pPr>
      <w:r>
        <w:rPr>
          <w:rFonts w:hint="eastAsia" w:asciiTheme="minorEastAsia" w:hAnsiTheme="minorEastAsia" w:eastAsiaTheme="minorEastAsia" w:cstheme="minorEastAsia"/>
          <w:bCs/>
          <w:sz w:val="24"/>
          <w:szCs w:val="24"/>
          <w:highlight w:val="none"/>
          <w:lang w:val="en-US" w:eastAsia="zh-CN"/>
        </w:rPr>
        <w:t>以上</w:t>
      </w:r>
      <w:r>
        <w:rPr>
          <w:rFonts w:hint="eastAsia" w:asciiTheme="minorEastAsia" w:hAnsiTheme="minorEastAsia" w:eastAsiaTheme="minorEastAsia" w:cstheme="minorEastAsia"/>
          <w:bCs/>
          <w:sz w:val="24"/>
          <w:szCs w:val="24"/>
          <w:highlight w:val="none"/>
        </w:rPr>
        <w:t>费用为甲方应付给乙方的全部费用，包括乙方完成本合同约定内容所需的人工成本、差旅费及应缴税费等相关费用</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如遇国家税率调整变化，未税金额不变。</w:t>
      </w:r>
    </w:p>
    <w:bookmarkEnd w:id="138"/>
    <w:bookmarkEnd w:id="139"/>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bookmarkStart w:id="140" w:name="_Toc299016125"/>
      <w:r>
        <w:rPr>
          <w:rFonts w:hint="eastAsia" w:asciiTheme="minorEastAsia" w:hAnsiTheme="minorEastAsia" w:eastAsiaTheme="minorEastAsia" w:cstheme="minorEastAsia"/>
          <w:bCs/>
          <w:sz w:val="24"/>
          <w:szCs w:val="24"/>
          <w:highlight w:val="none"/>
        </w:rPr>
        <w:t xml:space="preserve">第6条 </w:t>
      </w:r>
      <w:r>
        <w:rPr>
          <w:rFonts w:hint="eastAsia" w:asciiTheme="minorEastAsia" w:hAnsiTheme="minorEastAsia" w:eastAsiaTheme="minorEastAsia" w:cstheme="minorEastAsia"/>
          <w:bCs/>
          <w:color w:val="auto"/>
          <w:sz w:val="24"/>
          <w:szCs w:val="24"/>
          <w:u w:val="single"/>
          <w:lang w:val="en-US" w:eastAsia="zh-CN"/>
        </w:rPr>
        <w:t>中国中煤能源集团有限公司xxxxx项目xxxxxxx</w:t>
      </w:r>
      <w:r>
        <w:rPr>
          <w:rFonts w:hint="eastAsia" w:asciiTheme="minorEastAsia" w:hAnsiTheme="minorEastAsia" w:eastAsiaTheme="minorEastAsia" w:cstheme="minorEastAsia"/>
          <w:bCs/>
          <w:color w:val="auto"/>
          <w:sz w:val="24"/>
          <w:szCs w:val="24"/>
          <w:u w:val="single"/>
        </w:rPr>
        <w:t>项目</w:t>
      </w:r>
      <w:r>
        <w:rPr>
          <w:rFonts w:hint="eastAsia" w:asciiTheme="minorEastAsia" w:hAnsiTheme="minorEastAsia" w:eastAsiaTheme="minorEastAsia" w:cstheme="minorEastAsia"/>
          <w:bCs/>
          <w:sz w:val="24"/>
          <w:szCs w:val="24"/>
          <w:highlight w:val="none"/>
          <w:u w:val="none"/>
          <w:lang w:val="en-US" w:eastAsia="zh-CN"/>
        </w:rPr>
        <w:t>分包</w:t>
      </w:r>
      <w:r>
        <w:rPr>
          <w:rFonts w:hint="eastAsia" w:asciiTheme="minorEastAsia" w:hAnsiTheme="minorEastAsia" w:eastAsiaTheme="minorEastAsia" w:cstheme="minorEastAsia"/>
          <w:bCs/>
          <w:sz w:val="24"/>
          <w:szCs w:val="24"/>
          <w:highlight w:val="none"/>
        </w:rPr>
        <w:t>合同期内，乙方按附件《技术协议》约定为甲方提供服务，主要包括：详见</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u w:val="single"/>
        </w:rPr>
        <w:t>技术协议</w:t>
      </w:r>
      <w:r>
        <w:rPr>
          <w:rFonts w:hint="eastAsia" w:asciiTheme="minorEastAsia" w:hAnsiTheme="minorEastAsia" w:eastAsiaTheme="minorEastAsia" w:cstheme="minorEastAsia"/>
          <w:bCs/>
          <w:sz w:val="24"/>
          <w:szCs w:val="24"/>
          <w:highlight w:val="none"/>
          <w:u w:val="single"/>
          <w:lang w:eastAsia="zh-CN"/>
        </w:rPr>
        <w:t>》</w:t>
      </w:r>
      <w:r>
        <w:rPr>
          <w:rFonts w:hint="eastAsia" w:asciiTheme="minorEastAsia" w:hAnsiTheme="minorEastAsia" w:eastAsiaTheme="minorEastAsia" w:cstheme="minorEastAsia"/>
          <w:bCs/>
          <w:sz w:val="24"/>
          <w:szCs w:val="24"/>
          <w:highlight w:val="none"/>
          <w:u w:val="single"/>
        </w:rPr>
        <w:t>。</w:t>
      </w:r>
    </w:p>
    <w:bookmarkEnd w:id="140"/>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bookmarkStart w:id="141" w:name="_Toc204763756"/>
      <w:bookmarkStart w:id="142" w:name="_Toc207525267"/>
      <w:bookmarkStart w:id="143" w:name="_Toc512687983"/>
      <w:r>
        <w:rPr>
          <w:rFonts w:hint="eastAsia" w:asciiTheme="minorEastAsia" w:hAnsiTheme="minorEastAsia" w:eastAsiaTheme="minorEastAsia" w:cstheme="minorEastAsia"/>
          <w:bCs/>
          <w:sz w:val="24"/>
          <w:szCs w:val="24"/>
          <w:highlight w:val="none"/>
        </w:rPr>
        <w:t>第7条 乙方应确保上述服务项目符合甲方的工作目标和业务需求，同时必须接受甲方的监督和要求。</w:t>
      </w:r>
    </w:p>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第8条 针对本项目工作内容细节制订的“技术协议”是本合同的重要附件之一。</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五、</w:t>
      </w:r>
      <w:bookmarkEnd w:id="141"/>
      <w:bookmarkEnd w:id="142"/>
      <w:r>
        <w:rPr>
          <w:rFonts w:hint="eastAsia" w:asciiTheme="minorEastAsia" w:hAnsiTheme="minorEastAsia" w:eastAsiaTheme="minorEastAsia" w:cstheme="minorEastAsia"/>
          <w:b/>
          <w:sz w:val="24"/>
          <w:szCs w:val="24"/>
          <w:highlight w:val="none"/>
        </w:rPr>
        <w:t>合同期限</w:t>
      </w:r>
      <w:bookmarkEnd w:id="143"/>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480" w:firstLineChars="200"/>
        <w:jc w:val="both"/>
        <w:textAlignment w:val="auto"/>
        <w:rPr>
          <w:rFonts w:hint="eastAsia" w:asciiTheme="minorEastAsia" w:hAnsiTheme="minorEastAsia" w:eastAsiaTheme="minorEastAsia" w:cstheme="minorEastAsia"/>
          <w:bCs/>
          <w:sz w:val="24"/>
          <w:szCs w:val="24"/>
          <w:highlight w:val="none"/>
        </w:rPr>
      </w:pPr>
      <w:bookmarkStart w:id="144" w:name="_Toc512687984"/>
      <w:bookmarkStart w:id="145" w:name="_Toc204763757"/>
      <w:bookmarkStart w:id="146" w:name="_Toc207525268"/>
      <w:r>
        <w:rPr>
          <w:rFonts w:hint="eastAsia" w:asciiTheme="minorEastAsia" w:hAnsiTheme="minorEastAsia" w:eastAsiaTheme="minorEastAsia" w:cstheme="minorEastAsia"/>
          <w:bCs/>
          <w:sz w:val="24"/>
          <w:szCs w:val="24"/>
          <w:highlight w:val="none"/>
        </w:rPr>
        <w:t>第9条 本合同</w:t>
      </w:r>
      <w:r>
        <w:rPr>
          <w:rFonts w:hint="eastAsia" w:asciiTheme="minorEastAsia" w:hAnsiTheme="minorEastAsia" w:eastAsiaTheme="minorEastAsia" w:cstheme="minorEastAsia"/>
          <w:bCs/>
          <w:sz w:val="24"/>
          <w:szCs w:val="24"/>
          <w:highlight w:val="none"/>
          <w:lang w:val="en-US" w:eastAsia="zh-CN"/>
        </w:rPr>
        <w:t>有效期</w:t>
      </w:r>
      <w:r>
        <w:rPr>
          <w:rFonts w:hint="eastAsia" w:asciiTheme="minorEastAsia" w:hAnsiTheme="minorEastAsia" w:eastAsiaTheme="minorEastAsia" w:cstheme="minorEastAsia"/>
          <w:bCs/>
          <w:sz w:val="24"/>
          <w:szCs w:val="24"/>
          <w:highlight w:val="none"/>
        </w:rPr>
        <w:t>自合同生效之日起</w:t>
      </w:r>
      <w:r>
        <w:rPr>
          <w:rFonts w:hint="eastAsia" w:asciiTheme="minorEastAsia" w:hAnsiTheme="minorEastAsia" w:eastAsiaTheme="minorEastAsia" w:cstheme="minorEastAsia"/>
          <w:bCs/>
          <w:sz w:val="24"/>
          <w:szCs w:val="24"/>
          <w:highlight w:val="none"/>
          <w:lang w:val="en-US" w:eastAsia="zh-CN"/>
        </w:rPr>
        <w:t>至项目质保期结束为止</w:t>
      </w:r>
      <w:r>
        <w:rPr>
          <w:rFonts w:hint="eastAsia" w:asciiTheme="minorEastAsia" w:hAnsiTheme="minorEastAsia" w:eastAsiaTheme="minorEastAsia" w:cstheme="minorEastAsia"/>
          <w:bCs/>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480" w:firstLineChars="200"/>
        <w:jc w:val="both"/>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工期：本项目的竣工日期为</w:t>
      </w:r>
      <w:r>
        <w:rPr>
          <w:rFonts w:hint="eastAsia" w:asciiTheme="minorEastAsia" w:hAnsiTheme="minorEastAsia" w:eastAsiaTheme="minorEastAsia" w:cstheme="minorEastAsia"/>
          <w:bCs/>
          <w:color w:val="auto"/>
          <w:sz w:val="24"/>
          <w:szCs w:val="24"/>
          <w:highlight w:val="none"/>
          <w:u w:val="single"/>
          <w:lang w:val="en-US" w:eastAsia="zh-CN"/>
        </w:rPr>
        <w:t>xx</w:t>
      </w:r>
      <w:r>
        <w:rPr>
          <w:rFonts w:hint="eastAsia" w:asciiTheme="minorEastAsia" w:hAnsiTheme="minorEastAsia" w:eastAsiaTheme="minorEastAsia" w:cstheme="minorEastAsia"/>
          <w:bCs/>
          <w:color w:val="auto"/>
          <w:sz w:val="24"/>
          <w:szCs w:val="24"/>
          <w:highlight w:val="none"/>
          <w:lang w:val="en-US" w:eastAsia="zh-CN"/>
        </w:rPr>
        <w:t>年</w:t>
      </w:r>
      <w:r>
        <w:rPr>
          <w:rFonts w:hint="eastAsia" w:asciiTheme="minorEastAsia" w:hAnsiTheme="minorEastAsia" w:eastAsiaTheme="minorEastAsia" w:cstheme="minorEastAsia"/>
          <w:bCs/>
          <w:color w:val="auto"/>
          <w:sz w:val="24"/>
          <w:szCs w:val="24"/>
          <w:highlight w:val="none"/>
          <w:u w:val="single"/>
          <w:lang w:val="en-US" w:eastAsia="zh-CN"/>
        </w:rPr>
        <w:t>xx</w:t>
      </w:r>
      <w:r>
        <w:rPr>
          <w:rFonts w:hint="eastAsia" w:asciiTheme="minorEastAsia" w:hAnsiTheme="minorEastAsia" w:eastAsiaTheme="minorEastAsia" w:cstheme="minorEastAsia"/>
          <w:bCs/>
          <w:color w:val="auto"/>
          <w:sz w:val="24"/>
          <w:szCs w:val="24"/>
          <w:highlight w:val="none"/>
          <w:lang w:val="en-US" w:eastAsia="zh-CN"/>
        </w:rPr>
        <w:t>月</w:t>
      </w:r>
      <w:r>
        <w:rPr>
          <w:rFonts w:hint="eastAsia" w:asciiTheme="minorEastAsia" w:hAnsiTheme="minorEastAsia" w:eastAsiaTheme="minorEastAsia" w:cstheme="minorEastAsia"/>
          <w:bCs/>
          <w:color w:val="auto"/>
          <w:sz w:val="24"/>
          <w:szCs w:val="24"/>
          <w:highlight w:val="none"/>
          <w:u w:val="single"/>
          <w:lang w:val="en-US" w:eastAsia="zh-CN"/>
        </w:rPr>
        <w:t>xx</w:t>
      </w:r>
      <w:r>
        <w:rPr>
          <w:rFonts w:hint="eastAsia" w:asciiTheme="minorEastAsia" w:hAnsiTheme="minorEastAsia" w:eastAsiaTheme="minorEastAsia" w:cstheme="minorEastAsia"/>
          <w:bCs/>
          <w:color w:val="auto"/>
          <w:sz w:val="24"/>
          <w:szCs w:val="24"/>
          <w:highlight w:val="none"/>
          <w:lang w:val="en-US" w:eastAsia="zh-CN"/>
        </w:rPr>
        <w:t>日。</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bCs w:val="0"/>
          <w:sz w:val="24"/>
          <w:szCs w:val="24"/>
          <w:highlight w:val="none"/>
        </w:rPr>
      </w:pPr>
      <w:r>
        <w:rPr>
          <w:rFonts w:hint="eastAsia" w:asciiTheme="minorEastAsia" w:hAnsiTheme="minorEastAsia" w:eastAsiaTheme="minorEastAsia" w:cstheme="minorEastAsia"/>
          <w:b/>
          <w:bCs w:val="0"/>
          <w:sz w:val="24"/>
          <w:szCs w:val="24"/>
          <w:highlight w:val="none"/>
        </w:rPr>
        <w:t>六、验收及付款方式</w:t>
      </w:r>
      <w:bookmarkEnd w:id="144"/>
      <w:bookmarkEnd w:id="145"/>
      <w:bookmarkEnd w:id="146"/>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480" w:firstLineChars="200"/>
        <w:jc w:val="both"/>
        <w:textAlignment w:val="auto"/>
        <w:rPr>
          <w:rFonts w:hint="eastAsia" w:asciiTheme="minorEastAsia" w:hAnsiTheme="minorEastAsia" w:eastAsiaTheme="minorEastAsia" w:cstheme="minorEastAsia"/>
          <w:b w:val="0"/>
          <w:sz w:val="24"/>
          <w:szCs w:val="24"/>
          <w:highlight w:val="none"/>
        </w:rPr>
      </w:pPr>
      <w:r>
        <w:rPr>
          <w:rFonts w:hint="eastAsia" w:asciiTheme="minorEastAsia" w:hAnsiTheme="minorEastAsia" w:eastAsiaTheme="minorEastAsia" w:cstheme="minorEastAsia"/>
          <w:b w:val="0"/>
          <w:sz w:val="24"/>
          <w:szCs w:val="24"/>
          <w:highlight w:val="none"/>
        </w:rPr>
        <w:t>第10条 验收</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rPr>
      </w:pPr>
      <w:r>
        <w:rPr>
          <w:rFonts w:hint="eastAsia" w:asciiTheme="minorEastAsia" w:hAnsiTheme="minorEastAsia" w:eastAsiaTheme="minorEastAsia" w:cstheme="minorEastAsia"/>
          <w:b w:val="0"/>
          <w:sz w:val="24"/>
          <w:szCs w:val="24"/>
          <w:highlight w:val="none"/>
        </w:rPr>
        <w:t>甲乙双方需共同组织对合同所涉及的全部服务的联合评估验收。本项目采用阶段验收方式验收</w:t>
      </w:r>
      <w:r>
        <w:rPr>
          <w:rFonts w:hint="eastAsia" w:asciiTheme="minorEastAsia" w:hAnsiTheme="minorEastAsia" w:eastAsiaTheme="minorEastAsia" w:cstheme="minorEastAsia"/>
          <w:b w:val="0"/>
          <w:sz w:val="24"/>
          <w:szCs w:val="24"/>
          <w:highlight w:val="none"/>
          <w:lang w:eastAsia="zh-CN"/>
        </w:rPr>
        <w:t>，</w:t>
      </w:r>
      <w:r>
        <w:rPr>
          <w:rFonts w:hint="eastAsia" w:asciiTheme="minorEastAsia" w:hAnsiTheme="minorEastAsia" w:eastAsiaTheme="minorEastAsia" w:cstheme="minorEastAsia"/>
          <w:b w:val="0"/>
          <w:sz w:val="24"/>
          <w:szCs w:val="24"/>
          <w:highlight w:val="none"/>
        </w:rPr>
        <w:t>验收标准以符合合同及相关附件要求为准。</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lang w:val="en-US" w:eastAsia="zh-CN"/>
        </w:rPr>
      </w:pPr>
      <w:r>
        <w:rPr>
          <w:rFonts w:hint="eastAsia" w:asciiTheme="minorEastAsia" w:hAnsiTheme="minorEastAsia" w:eastAsiaTheme="minorEastAsia" w:cstheme="minorEastAsia"/>
          <w:b w:val="0"/>
          <w:sz w:val="24"/>
          <w:szCs w:val="24"/>
          <w:highlight w:val="none"/>
        </w:rPr>
        <w:t>当乙方提出验收申请，甲方拒绝组织验收或验收不合格，应出具书面的异议；乙方应及时加以修改纠正，验收可进行多次，</w:t>
      </w:r>
      <w:r>
        <w:rPr>
          <w:rFonts w:hint="eastAsia" w:asciiTheme="minorEastAsia" w:hAnsiTheme="minorEastAsia" w:eastAsiaTheme="minorEastAsia" w:cstheme="minorEastAsia"/>
          <w:b w:val="0"/>
          <w:sz w:val="24"/>
          <w:szCs w:val="24"/>
          <w:highlight w:val="none"/>
          <w:lang w:val="en-US" w:eastAsia="zh-CN"/>
        </w:rPr>
        <w:t>直到验收合格为止。</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lang w:val="en-US" w:eastAsia="zh-CN"/>
        </w:rPr>
      </w:pPr>
      <w:bookmarkStart w:id="147" w:name="_Toc204763758"/>
      <w:bookmarkStart w:id="148" w:name="_Toc207525269"/>
      <w:r>
        <w:rPr>
          <w:rFonts w:hint="eastAsia" w:asciiTheme="minorEastAsia" w:hAnsiTheme="minorEastAsia" w:eastAsiaTheme="minorEastAsia" w:cstheme="minorEastAsia"/>
          <w:b w:val="0"/>
          <w:sz w:val="24"/>
          <w:szCs w:val="24"/>
          <w:highlight w:val="none"/>
          <w:lang w:val="en-US" w:eastAsia="zh-CN"/>
        </w:rPr>
        <w:t>第11条 合同价格与支付。甲方将按照建设方付款进度执行以下付款条件：</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outlineLvl w:val="9"/>
        <w:rPr>
          <w:rFonts w:hint="eastAsia" w:asciiTheme="minorEastAsia" w:hAnsiTheme="minorEastAsia" w:eastAsiaTheme="minorEastAsia" w:cstheme="minorEastAsia"/>
          <w:b w:val="0"/>
          <w:sz w:val="24"/>
          <w:szCs w:val="24"/>
          <w:highlight w:val="none"/>
          <w:lang w:val="en-US" w:eastAsia="zh-CN"/>
        </w:rPr>
      </w:pPr>
      <w:r>
        <w:rPr>
          <w:rFonts w:hint="eastAsia" w:asciiTheme="minorEastAsia" w:hAnsiTheme="minorEastAsia" w:eastAsiaTheme="minorEastAsia" w:cstheme="minorEastAsia"/>
          <w:b w:val="0"/>
          <w:sz w:val="24"/>
          <w:szCs w:val="24"/>
          <w:highlight w:val="none"/>
          <w:lang w:val="en-US" w:eastAsia="zh-CN"/>
        </w:rPr>
        <w:t>1.合同价格形式</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outlineLvl w:val="9"/>
        <w:rPr>
          <w:rFonts w:hint="eastAsia" w:asciiTheme="minorEastAsia" w:hAnsiTheme="minorEastAsia" w:eastAsiaTheme="minorEastAsia" w:cstheme="minorEastAsia"/>
          <w:b w:val="0"/>
          <w:sz w:val="24"/>
          <w:szCs w:val="24"/>
          <w:highlight w:val="none"/>
          <w:lang w:val="en-US" w:eastAsia="zh-CN"/>
        </w:rPr>
      </w:pPr>
      <w:r>
        <w:rPr>
          <w:rFonts w:hint="eastAsia" w:asciiTheme="minorEastAsia" w:hAnsiTheme="minorEastAsia" w:eastAsiaTheme="minorEastAsia" w:cstheme="minorEastAsia"/>
          <w:b w:val="0"/>
          <w:sz w:val="24"/>
          <w:szCs w:val="24"/>
          <w:highlight w:val="none"/>
          <w:lang w:val="en-US" w:eastAsia="zh-CN"/>
        </w:rPr>
        <w:t>1）设备及材料购置费支付：设备到场验收合格后，乙方提供该分项设备款的100%增值税专用发票后，甲方收到建设方相应款项后支付至该分项设备及材料价款的70%；设备安装调试验收合格后，甲方收到建设方相应款项后支付至设备及材料价款的95%，项目缺陷责任期满后甲方收到建设方相应款项后支付结算总价款的5%质量保证金；</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outlineLvl w:val="9"/>
        <w:rPr>
          <w:rFonts w:hint="eastAsia" w:asciiTheme="minorEastAsia" w:hAnsiTheme="minorEastAsia" w:eastAsiaTheme="minorEastAsia" w:cstheme="minorEastAsia"/>
          <w:b w:val="0"/>
          <w:sz w:val="24"/>
          <w:szCs w:val="24"/>
          <w:highlight w:val="none"/>
          <w:lang w:val="en-US" w:eastAsia="zh-CN"/>
        </w:rPr>
      </w:pPr>
      <w:r>
        <w:rPr>
          <w:rFonts w:hint="eastAsia" w:asciiTheme="minorEastAsia" w:hAnsiTheme="minorEastAsia" w:eastAsiaTheme="minorEastAsia" w:cstheme="minorEastAsia"/>
          <w:b w:val="0"/>
          <w:sz w:val="24"/>
          <w:szCs w:val="24"/>
          <w:highlight w:val="none"/>
          <w:lang w:val="en-US" w:eastAsia="zh-CN"/>
        </w:rPr>
        <w:t>2）安装工程费支付：工程进度款按月提报，按季度结付，当期工程进度款按照实际完成工作量进行计量，乙方提供该工程进度款的100%增值税专用发票后，甲方收到建设方相应款项后支付至当期计量工程进度款的70%；项目竣工验收合格后，甲方收到建设方相应款项后支付至结算总价款的95%，项目缺陷责任期满后甲方收到建设方相应款项后支付结算总价款的5%质量保证金。</w:t>
      </w: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480" w:firstLineChars="200"/>
        <w:jc w:val="left"/>
        <w:textAlignment w:val="auto"/>
        <w:rPr>
          <w:rFonts w:hint="eastAsia" w:asciiTheme="minorEastAsia" w:hAnsiTheme="minorEastAsia" w:eastAsiaTheme="minorEastAsia" w:cstheme="minorEastAsia"/>
          <w:b w:val="0"/>
          <w:bCs/>
          <w:kern w:val="2"/>
          <w:sz w:val="24"/>
          <w:szCs w:val="24"/>
          <w:highlight w:val="none"/>
          <w:lang w:val="en-US" w:eastAsia="zh-CN" w:bidi="ar-SA"/>
        </w:rPr>
      </w:pPr>
      <w:r>
        <w:rPr>
          <w:rFonts w:hint="eastAsia" w:asciiTheme="minorEastAsia" w:hAnsiTheme="minorEastAsia" w:eastAsiaTheme="minorEastAsia" w:cstheme="minorEastAsia"/>
          <w:b w:val="0"/>
          <w:sz w:val="24"/>
          <w:szCs w:val="24"/>
          <w:highlight w:val="none"/>
          <w:lang w:val="en-US" w:eastAsia="zh-CN"/>
        </w:rPr>
        <w:t>2.</w:t>
      </w:r>
      <w:r>
        <w:rPr>
          <w:rFonts w:hint="eastAsia" w:asciiTheme="minorEastAsia" w:hAnsiTheme="minorEastAsia" w:eastAsiaTheme="minorEastAsia" w:cstheme="minorEastAsia"/>
          <w:b w:val="0"/>
          <w:bCs/>
          <w:kern w:val="2"/>
          <w:sz w:val="24"/>
          <w:szCs w:val="24"/>
          <w:highlight w:val="none"/>
          <w:lang w:val="en-US" w:eastAsia="zh-CN" w:bidi="ar-SA"/>
        </w:rPr>
        <w:t xml:space="preserve">预付款支付 </w:t>
      </w: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480" w:firstLineChars="200"/>
        <w:jc w:val="left"/>
        <w:textAlignment w:val="auto"/>
        <w:rPr>
          <w:rFonts w:hint="eastAsia" w:asciiTheme="minorEastAsia" w:hAnsiTheme="minorEastAsia" w:eastAsiaTheme="minorEastAsia" w:cstheme="minorEastAsia"/>
          <w:b w:val="0"/>
          <w:bCs/>
          <w:kern w:val="2"/>
          <w:sz w:val="24"/>
          <w:szCs w:val="24"/>
          <w:highlight w:val="none"/>
          <w:lang w:val="en-US" w:eastAsia="zh-CN" w:bidi="ar-SA"/>
        </w:rPr>
      </w:pPr>
      <w:r>
        <w:rPr>
          <w:rFonts w:hint="eastAsia" w:asciiTheme="minorEastAsia" w:hAnsiTheme="minorEastAsia" w:eastAsiaTheme="minorEastAsia" w:cstheme="minorEastAsia"/>
          <w:b w:val="0"/>
          <w:bCs/>
          <w:kern w:val="2"/>
          <w:sz w:val="24"/>
          <w:szCs w:val="24"/>
          <w:highlight w:val="none"/>
          <w:lang w:val="en-US" w:eastAsia="zh-CN" w:bidi="ar-SA"/>
        </w:rPr>
        <w:t>1）预付款的金额或比例为：</w:t>
      </w:r>
      <w:r>
        <w:rPr>
          <w:rFonts w:hint="eastAsia" w:asciiTheme="minorEastAsia" w:hAnsiTheme="minorEastAsia" w:eastAsiaTheme="minorEastAsia" w:cstheme="minorEastAsia"/>
          <w:b w:val="0"/>
          <w:bCs/>
          <w:sz w:val="24"/>
          <w:szCs w:val="24"/>
          <w:highlight w:val="none"/>
          <w:u w:val="single"/>
          <w:lang w:val="en-US" w:eastAsia="zh-CN"/>
        </w:rPr>
        <w:t>设备费</w:t>
      </w:r>
      <w:r>
        <w:rPr>
          <w:rFonts w:hint="eastAsia" w:asciiTheme="minorEastAsia" w:hAnsiTheme="minorEastAsia" w:eastAsiaTheme="minorEastAsia" w:cstheme="minorEastAsia"/>
          <w:b w:val="0"/>
          <w:bCs/>
          <w:kern w:val="2"/>
          <w:sz w:val="24"/>
          <w:szCs w:val="24"/>
          <w:highlight w:val="none"/>
          <w:u w:val="single"/>
          <w:lang w:val="en-US" w:eastAsia="zh-CN" w:bidi="ar-SA"/>
        </w:rPr>
        <w:t>总价的30%</w:t>
      </w:r>
      <w:r>
        <w:rPr>
          <w:rFonts w:hint="eastAsia" w:asciiTheme="minorEastAsia" w:hAnsiTheme="minorEastAsia" w:eastAsiaTheme="minorEastAsia" w:cstheme="minorEastAsia"/>
          <w:b w:val="0"/>
          <w:bCs/>
          <w:kern w:val="2"/>
          <w:sz w:val="24"/>
          <w:szCs w:val="24"/>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480" w:firstLineChars="200"/>
        <w:jc w:val="left"/>
        <w:textAlignment w:val="auto"/>
        <w:rPr>
          <w:rFonts w:hint="eastAsia" w:asciiTheme="minorEastAsia" w:hAnsiTheme="minorEastAsia" w:eastAsiaTheme="minorEastAsia" w:cstheme="minorEastAsia"/>
          <w:b w:val="0"/>
          <w:bCs/>
          <w:kern w:val="2"/>
          <w:sz w:val="24"/>
          <w:szCs w:val="24"/>
          <w:highlight w:val="none"/>
          <w:lang w:val="en-US" w:eastAsia="zh-CN" w:bidi="ar-SA"/>
        </w:rPr>
      </w:pPr>
      <w:r>
        <w:rPr>
          <w:rFonts w:hint="eastAsia" w:asciiTheme="minorEastAsia" w:hAnsiTheme="minorEastAsia" w:eastAsiaTheme="minorEastAsia" w:cstheme="minorEastAsia"/>
          <w:b w:val="0"/>
          <w:bCs/>
          <w:kern w:val="2"/>
          <w:sz w:val="24"/>
          <w:szCs w:val="24"/>
          <w:highlight w:val="none"/>
          <w:lang w:val="en-US" w:eastAsia="zh-CN" w:bidi="ar-SA"/>
        </w:rPr>
        <w:t>2）预付款支付期限：</w:t>
      </w:r>
      <w:r>
        <w:rPr>
          <w:rFonts w:hint="eastAsia" w:asciiTheme="minorEastAsia" w:hAnsiTheme="minorEastAsia" w:eastAsiaTheme="minorEastAsia" w:cstheme="minorEastAsia"/>
          <w:b w:val="0"/>
          <w:bCs/>
          <w:kern w:val="2"/>
          <w:sz w:val="24"/>
          <w:szCs w:val="24"/>
          <w:highlight w:val="none"/>
          <w:u w:val="single"/>
          <w:lang w:val="en-US" w:eastAsia="zh-CN" w:bidi="ar-SA"/>
        </w:rPr>
        <w:t>合同签订后一个月内</w:t>
      </w:r>
      <w:r>
        <w:rPr>
          <w:rFonts w:hint="eastAsia" w:asciiTheme="minorEastAsia" w:hAnsiTheme="minorEastAsia" w:eastAsiaTheme="minorEastAsia" w:cstheme="minorEastAsia"/>
          <w:b w:val="0"/>
          <w:bCs/>
          <w:kern w:val="2"/>
          <w:sz w:val="24"/>
          <w:szCs w:val="24"/>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480" w:firstLineChars="200"/>
        <w:jc w:val="left"/>
        <w:textAlignment w:val="auto"/>
        <w:rPr>
          <w:rFonts w:hint="eastAsia" w:asciiTheme="minorEastAsia" w:hAnsiTheme="minorEastAsia" w:eastAsiaTheme="minorEastAsia" w:cstheme="minorEastAsia"/>
          <w:b w:val="0"/>
          <w:bCs/>
          <w:kern w:val="2"/>
          <w:sz w:val="24"/>
          <w:szCs w:val="24"/>
          <w:highlight w:val="none"/>
          <w:lang w:val="en-US" w:eastAsia="zh-CN" w:bidi="ar-SA"/>
        </w:rPr>
      </w:pPr>
      <w:r>
        <w:rPr>
          <w:rFonts w:hint="eastAsia" w:asciiTheme="minorEastAsia" w:hAnsiTheme="minorEastAsia" w:eastAsiaTheme="minorEastAsia" w:cstheme="minorEastAsia"/>
          <w:b w:val="0"/>
          <w:bCs/>
          <w:kern w:val="2"/>
          <w:sz w:val="24"/>
          <w:szCs w:val="24"/>
          <w:highlight w:val="none"/>
          <w:lang w:val="en-US" w:eastAsia="zh-CN" w:bidi="ar-SA"/>
        </w:rPr>
        <w:t>3）预付款扣回的方式：预付款的抵扣方式、抵扣比例和抵扣时间安排：预付款从第一次工程进度款开始扣除，扣完为止。</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bCs w:val="0"/>
          <w:strike w:val="0"/>
          <w:dstrike w:val="0"/>
          <w:sz w:val="24"/>
          <w:szCs w:val="24"/>
        </w:rPr>
      </w:pPr>
      <w:bookmarkStart w:id="149" w:name="_Toc512687985"/>
      <w:r>
        <w:rPr>
          <w:rFonts w:hint="eastAsia" w:asciiTheme="minorEastAsia" w:hAnsiTheme="minorEastAsia" w:eastAsiaTheme="minorEastAsia" w:cstheme="minorEastAsia"/>
          <w:b/>
          <w:bCs w:val="0"/>
          <w:sz w:val="24"/>
          <w:szCs w:val="24"/>
        </w:rPr>
        <w:t>七、人员要求</w:t>
      </w:r>
      <w:bookmarkEnd w:id="147"/>
      <w:bookmarkEnd w:id="148"/>
      <w:bookmarkEnd w:id="149"/>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bookmarkStart w:id="150" w:name="_Toc514169490"/>
      <w:bookmarkStart w:id="151" w:name="_Toc207525272"/>
      <w:bookmarkStart w:id="152" w:name="_Toc204763761"/>
      <w:r>
        <w:rPr>
          <w:rFonts w:hint="eastAsia" w:asciiTheme="minorEastAsia" w:hAnsiTheme="minorEastAsia" w:eastAsiaTheme="minorEastAsia" w:cstheme="minorEastAsia"/>
          <w:bCs/>
          <w:sz w:val="24"/>
          <w:szCs w:val="24"/>
          <w:highlight w:val="none"/>
        </w:rPr>
        <w:t>第12条 人员配置</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乙方配置的项目人员应满足甲方提出的人员能力资质要求。</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第13条 人员替换</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合同期内，经甲、乙双方协商一致后方可替换项目人员，并遵照如下条件：</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须提前30天向甲方提出申请，得到甲方书面认可后方可变动。</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替换人员须提前两周入场，和被替换人员保证至少两周的共同工作时间。</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替换人员须在资历、项目领域经验上不低于被替换人员。</w:t>
      </w:r>
    </w:p>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rPr>
        <w:t>如果甲方认为乙方派出的项目人员不能胜任或者不适合本项目，可随时要求乙方进行更换，乙方须在指定时间内重新选派合适的替换人员。</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第14条 保险与赔偿</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乙方为项目配置的服务人员与甲方不存在任何劳动和代理关系，乙方应依法向所配置项目人员支付薪酬及为其缴纳各项保险。甲方不对乙方项目人员承担任何责任和费用。</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bCs w:val="0"/>
          <w:sz w:val="24"/>
          <w:szCs w:val="24"/>
          <w:highlight w:val="none"/>
        </w:rPr>
      </w:pPr>
      <w:bookmarkStart w:id="153" w:name="_Toc207525270"/>
      <w:bookmarkStart w:id="154" w:name="_Toc204763759"/>
      <w:bookmarkStart w:id="155" w:name="_Toc512687986"/>
      <w:r>
        <w:rPr>
          <w:rFonts w:hint="eastAsia" w:asciiTheme="minorEastAsia" w:hAnsiTheme="minorEastAsia" w:eastAsiaTheme="minorEastAsia" w:cstheme="minorEastAsia"/>
          <w:b/>
          <w:bCs w:val="0"/>
          <w:sz w:val="24"/>
          <w:szCs w:val="24"/>
          <w:highlight w:val="none"/>
        </w:rPr>
        <w:t>八、质量保证</w:t>
      </w:r>
      <w:bookmarkEnd w:id="153"/>
      <w:bookmarkEnd w:id="154"/>
      <w:bookmarkEnd w:id="155"/>
    </w:p>
    <w:p>
      <w:pPr>
        <w:pStyle w:val="52"/>
        <w:keepNext w:val="0"/>
        <w:keepLines w:val="0"/>
        <w:pageBreakBefore w:val="0"/>
        <w:widowControl/>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第15条 </w:t>
      </w:r>
      <w:r>
        <w:rPr>
          <w:rFonts w:hint="eastAsia" w:asciiTheme="minorEastAsia" w:hAnsiTheme="minorEastAsia" w:eastAsiaTheme="minorEastAsia" w:cstheme="minorEastAsia"/>
          <w:bCs/>
          <w:kern w:val="2"/>
          <w:sz w:val="24"/>
          <w:szCs w:val="24"/>
          <w:highlight w:val="none"/>
        </w:rPr>
        <w:t>乙方必须保障在项目过程中使用经验丰富、业务能力合格的人员为甲方提供技术咨询和服务，乙方所有项目成员必须经过甲方的面试确认。一旦确认项目成员，必须要保证项目组主要骨干人员能全程参与项目建设，直到项目终验为止。</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bCs w:val="0"/>
          <w:sz w:val="24"/>
          <w:szCs w:val="24"/>
          <w:highlight w:val="none"/>
        </w:rPr>
      </w:pPr>
      <w:bookmarkStart w:id="156" w:name="_Toc207525271"/>
      <w:bookmarkStart w:id="157" w:name="_Toc204763760"/>
      <w:r>
        <w:rPr>
          <w:rFonts w:hint="eastAsia" w:asciiTheme="minorEastAsia" w:hAnsiTheme="minorEastAsia" w:eastAsiaTheme="minorEastAsia" w:cstheme="minorEastAsia"/>
          <w:b/>
          <w:bCs w:val="0"/>
          <w:sz w:val="24"/>
          <w:szCs w:val="24"/>
          <w:highlight w:val="none"/>
        </w:rPr>
        <w:t>九、</w:t>
      </w:r>
      <w:bookmarkEnd w:id="156"/>
      <w:bookmarkEnd w:id="157"/>
      <w:r>
        <w:rPr>
          <w:rFonts w:hint="eastAsia" w:asciiTheme="minorEastAsia" w:hAnsiTheme="minorEastAsia" w:eastAsiaTheme="minorEastAsia" w:cstheme="minorEastAsia"/>
          <w:b/>
          <w:bCs w:val="0"/>
          <w:sz w:val="24"/>
          <w:szCs w:val="24"/>
          <w:highlight w:val="none"/>
        </w:rPr>
        <w:t>考核</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rPr>
      </w:pPr>
      <w:r>
        <w:rPr>
          <w:rFonts w:hint="eastAsia" w:asciiTheme="minorEastAsia" w:hAnsiTheme="minorEastAsia" w:eastAsiaTheme="minorEastAsia" w:cstheme="minorEastAsia"/>
          <w:b w:val="0"/>
          <w:sz w:val="24"/>
          <w:szCs w:val="24"/>
          <w:highlight w:val="none"/>
        </w:rPr>
        <w:t>第16条 甲方依据</w:t>
      </w:r>
      <w:r>
        <w:rPr>
          <w:rFonts w:hint="eastAsia" w:asciiTheme="minorEastAsia" w:hAnsiTheme="minorEastAsia" w:eastAsiaTheme="minorEastAsia" w:cstheme="minorEastAsia"/>
          <w:b w:val="0"/>
          <w:sz w:val="24"/>
          <w:szCs w:val="24"/>
          <w:highlight w:val="none"/>
          <w:lang w:eastAsia="zh-CN"/>
        </w:rPr>
        <w:t>技术协议</w:t>
      </w:r>
      <w:r>
        <w:rPr>
          <w:rFonts w:hint="eastAsia" w:asciiTheme="minorEastAsia" w:hAnsiTheme="minorEastAsia" w:eastAsiaTheme="minorEastAsia" w:cstheme="minorEastAsia"/>
          <w:b w:val="0"/>
          <w:sz w:val="24"/>
          <w:szCs w:val="24"/>
          <w:highlight w:val="none"/>
        </w:rPr>
        <w:t>中的考核细则对乙方进行考核，乙方应严格配合、执行考核细则中约定相关内容。</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十、双方权利与义务</w:t>
      </w:r>
      <w:bookmarkEnd w:id="150"/>
      <w:bookmarkEnd w:id="151"/>
      <w:bookmarkEnd w:id="152"/>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第17条 共同权利与责任</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甲、乙双方均有保障本项目保质保量顺利建设完成的职责。</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合同期内，未经合同一方事先书面同意，另一方不能将本合同所规定的权利、责任和义务转让或分派给任何其他第三方。</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成立项目人员管理组织，包括管理领导组、日常辅导组。管理领导组由甲、乙方及其他相关人员组成，主要负责项目人员的日常管理。日常辅导组由甲方负责牵头组成，主要负责对乙方项目人员的日常考勤及工作表现的监督与反馈，落实管理领导组的决议。</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bookmarkStart w:id="158" w:name="_Toc514169491"/>
      <w:bookmarkStart w:id="159" w:name="_Toc204763762"/>
      <w:bookmarkStart w:id="160" w:name="_Toc207525273"/>
      <w:r>
        <w:rPr>
          <w:rFonts w:hint="eastAsia" w:asciiTheme="minorEastAsia" w:hAnsiTheme="minorEastAsia" w:eastAsiaTheme="minorEastAsia" w:cstheme="minorEastAsia"/>
          <w:bCs/>
          <w:sz w:val="24"/>
          <w:szCs w:val="24"/>
          <w:highlight w:val="none"/>
        </w:rPr>
        <w:t>第18条 甲方权利与义务</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甲方应能保证对本项目工作的全力支持，以确保项目工作按照正确的方向顺利进行。</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甲方应保证依据本合同向乙方提供的文件、数据及资料均真实、准确、完整、合法和有效。</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在乙方工作组按照</w:t>
      </w:r>
      <w:r>
        <w:rPr>
          <w:rFonts w:hint="eastAsia" w:asciiTheme="minorEastAsia" w:hAnsiTheme="minorEastAsia" w:eastAsiaTheme="minorEastAsia" w:cstheme="minorEastAsia"/>
          <w:bCs/>
          <w:sz w:val="24"/>
          <w:szCs w:val="24"/>
          <w:highlight w:val="none"/>
          <w:lang w:eastAsia="zh-CN"/>
        </w:rPr>
        <w:t>技术协议</w:t>
      </w:r>
      <w:r>
        <w:rPr>
          <w:rFonts w:hint="eastAsia" w:asciiTheme="minorEastAsia" w:hAnsiTheme="minorEastAsia" w:eastAsiaTheme="minorEastAsia" w:cstheme="minorEastAsia"/>
          <w:bCs/>
          <w:sz w:val="24"/>
          <w:szCs w:val="24"/>
          <w:highlight w:val="none"/>
        </w:rPr>
        <w:t>保质保量完成既定任务前提下，甲方应按约定的方式和阶段及时向乙方付款。</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rPr>
        <w:t>甲方应负责制定并不断优化完善对乙方的考核细则。</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第19条 乙方权利与义务</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乙方负责按</w:t>
      </w:r>
      <w:r>
        <w:rPr>
          <w:rFonts w:hint="eastAsia" w:asciiTheme="minorEastAsia" w:hAnsiTheme="minorEastAsia" w:eastAsiaTheme="minorEastAsia" w:cstheme="minorEastAsia"/>
          <w:bCs/>
          <w:sz w:val="24"/>
          <w:szCs w:val="24"/>
          <w:highlight w:val="none"/>
          <w:lang w:eastAsia="zh-CN"/>
        </w:rPr>
        <w:t>技术协议</w:t>
      </w:r>
      <w:r>
        <w:rPr>
          <w:rFonts w:hint="eastAsia" w:asciiTheme="minorEastAsia" w:hAnsiTheme="minorEastAsia" w:eastAsiaTheme="minorEastAsia" w:cstheme="minorEastAsia"/>
          <w:bCs/>
          <w:sz w:val="24"/>
          <w:szCs w:val="24"/>
          <w:highlight w:val="none"/>
        </w:rPr>
        <w:t>中约定的工作内容、方式、工期实现项目目标。</w:t>
      </w:r>
    </w:p>
    <w:p>
      <w:pPr>
        <w:pStyle w:val="52"/>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乙方应针对本合同建立专职的项目组织，设置专人负责项目工作过程中的各类协调工作，乙方的项目负责人应保证参加项目工作的时间，充分参与项目的实施，以确保项目按照正确的方向进行，同时还应与甲方共同努力，使项目中出现的重大问题得到及时解决。</w:t>
      </w:r>
    </w:p>
    <w:p>
      <w:pPr>
        <w:pStyle w:val="52"/>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乙方应保证其提供的顾问具备满足项目工作需要的业务和技术能力；在项目过程中，乙方顾问将对甲方项目组支持成员、内部技术人员进行相关知识和技能的培训。</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rPr>
        <w:t>乙方项目组所有成员均有按照保密协议对甲方提供的各种数据、资料进行保密的职责，保密协议双方将单独签署。</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rPr>
        <w:t>乙方应按期完工，保证项目工作各个阶段能够按照既定目标和计划完成，除非发生非乙方原因导致的项目工作延期。每个阶段完成的标志按照双方谈判后约定的阶段验收条件确定。</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6.</w:t>
      </w:r>
      <w:r>
        <w:rPr>
          <w:rFonts w:hint="eastAsia" w:asciiTheme="minorEastAsia" w:hAnsiTheme="minorEastAsia" w:eastAsiaTheme="minorEastAsia" w:cstheme="minorEastAsia"/>
          <w:bCs/>
          <w:sz w:val="24"/>
          <w:szCs w:val="24"/>
          <w:highlight w:val="none"/>
        </w:rPr>
        <w:t>乙方应按照甲方制定的项目考核细则严格执行，切实落实考核要求，规范信息化系统管理工作，保证项目工作高效开展。</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7.乙方承担所负责项目范围内所造成的各类处罚（包含但不限于管理、工期、质量、安全文明标准化等方面），视情节由甲方对乙方追加处罚。</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8.乙方招用建筑工人的，应当依法与所招用的建筑工人订立劳动合同，实行建筑工人劳动用工实名制管理，乙方应当按照有关规定开设建筑工人工资专用账户、存储工资保证金，专项用于支付和保障该工程建设项目建筑工人工资。甲方将监督乙方按照北京市政府相关规定足额交纳农民工保证金，发现乙方拖欠农民工工资时，甲方有权直接从应付工程款中代付农民工工资。</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9.乙方负责本项目内包括但不限于施工进度计划、施工方案、专项技术措施、安全内页资料、验收资料、付款审批手续等文本资料的制作、上报。</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10.乙方负责项目范围内与建设方已有系统接口、验收、会议及人员培训等所产生费用。</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lang w:eastAsia="zh-CN"/>
        </w:rPr>
      </w:pPr>
      <w:r>
        <w:rPr>
          <w:rFonts w:hint="eastAsia" w:asciiTheme="minorEastAsia" w:hAnsiTheme="minorEastAsia" w:eastAsiaTheme="minorEastAsia" w:cstheme="minorEastAsia"/>
          <w:b w:val="0"/>
          <w:sz w:val="24"/>
          <w:szCs w:val="24"/>
        </w:rPr>
        <w:t>十一、合同变更、补充与终止</w:t>
      </w:r>
      <w:bookmarkEnd w:id="158"/>
      <w:bookmarkEnd w:id="159"/>
      <w:bookmarkEnd w:id="160"/>
      <w:r>
        <w:rPr>
          <w:rFonts w:hint="eastAsia" w:asciiTheme="minorEastAsia" w:hAnsiTheme="minorEastAsia" w:eastAsiaTheme="minorEastAsia" w:cstheme="minorEastAsia"/>
          <w:b w:val="0"/>
          <w:sz w:val="24"/>
          <w:szCs w:val="24"/>
          <w:lang w:eastAsia="zh-CN"/>
        </w:rPr>
        <w:t>。</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bookmarkStart w:id="161" w:name="_Toc204763763"/>
      <w:bookmarkStart w:id="162" w:name="_Toc514169492"/>
      <w:bookmarkStart w:id="163" w:name="_Toc207525274"/>
      <w:r>
        <w:rPr>
          <w:rFonts w:hint="eastAsia" w:asciiTheme="minorEastAsia" w:hAnsiTheme="minorEastAsia" w:eastAsiaTheme="minorEastAsia" w:cstheme="minorEastAsia"/>
          <w:bCs/>
          <w:sz w:val="24"/>
          <w:szCs w:val="24"/>
          <w:highlight w:val="none"/>
        </w:rPr>
        <w:t>第20条 合同变更、补充</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甲、乙双方根据具体工作需要，在经过充分沟通和友好协商的前提下，可根据实际情况对合同相关条款进行变更或补充，合同变更文件或补充合同经双方法定代表人或其授权代表人签字后生效，生效后的合同变更文件或补充合同是本合同的组成部分，与本合同具有同等法律效力。</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甲、乙双方对合同的任何修改和补充均需通过书面协议方式进行，并经双方法定代表人或其授权代表签署并加盖各自公司公章或合同专用章后生效，本合同中未经修改的其他条款仍然有效。除本合同以及合同附件文本以外，双方关于本合同签订阶段或项目过程中做出的任何正式承诺均应以书面形式做出，正式的承诺资料均视为合同的一部分，对合同双方具有约束力。</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第21条 合同终止</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bdr w:val="single" w:color="auto" w:sz="4" w:space="0"/>
          <w:lang w:eastAsia="zh-CN"/>
        </w:rPr>
      </w:pPr>
      <w:r>
        <w:rPr>
          <w:rFonts w:hint="eastAsia" w:asciiTheme="minorEastAsia" w:hAnsiTheme="minorEastAsia" w:eastAsiaTheme="minorEastAsia" w:cstheme="minorEastAsia"/>
          <w:bCs/>
          <w:sz w:val="24"/>
          <w:szCs w:val="24"/>
          <w:highlight w:val="none"/>
          <w:lang w:eastAsia="zh-CN"/>
        </w:rPr>
        <w:t>具有下列情形之一的，甲、乙双方或其中一方可以解除合同：</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1</w:t>
      </w:r>
      <w:r>
        <w:rPr>
          <w:rFonts w:hint="eastAsia" w:asciiTheme="minorEastAsia" w:hAnsiTheme="minorEastAsia" w:eastAsiaTheme="minorEastAsia" w:cstheme="minorEastAsia"/>
          <w:bCs/>
          <w:sz w:val="24"/>
          <w:szCs w:val="24"/>
          <w:highlight w:val="none"/>
          <w:lang w:val="en-US" w:eastAsia="zh-CN"/>
        </w:rPr>
        <w:t>.</w:t>
      </w:r>
      <w:r>
        <w:rPr>
          <w:rFonts w:hint="eastAsia" w:asciiTheme="minorEastAsia" w:hAnsiTheme="minorEastAsia" w:eastAsiaTheme="minorEastAsia" w:cstheme="minorEastAsia"/>
          <w:bCs/>
          <w:sz w:val="24"/>
          <w:szCs w:val="24"/>
          <w:highlight w:val="none"/>
          <w:lang w:eastAsia="zh-CN"/>
        </w:rPr>
        <w:t>合同一方严重违反本合同约定的义务，在守约方书面通知要求纠正后仍继续违约的，守约方可以以书面形式通知违约方解除合同。</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2</w:t>
      </w:r>
      <w:r>
        <w:rPr>
          <w:rFonts w:hint="eastAsia" w:asciiTheme="minorEastAsia" w:hAnsiTheme="minorEastAsia" w:eastAsiaTheme="minorEastAsia" w:cstheme="minorEastAsia"/>
          <w:bCs/>
          <w:sz w:val="24"/>
          <w:szCs w:val="24"/>
          <w:highlight w:val="none"/>
          <w:lang w:val="en-US" w:eastAsia="zh-CN"/>
        </w:rPr>
        <w:t>.</w:t>
      </w:r>
      <w:r>
        <w:rPr>
          <w:rFonts w:hint="eastAsia" w:asciiTheme="minorEastAsia" w:hAnsiTheme="minorEastAsia" w:eastAsiaTheme="minorEastAsia" w:cstheme="minorEastAsia"/>
          <w:bCs/>
          <w:sz w:val="24"/>
          <w:szCs w:val="24"/>
          <w:highlight w:val="none"/>
          <w:lang w:eastAsia="zh-CN"/>
        </w:rPr>
        <w:t>由于不可抗力造成合同一方或双方无法继续履行合同的。</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3</w:t>
      </w:r>
      <w:r>
        <w:rPr>
          <w:rFonts w:hint="eastAsia" w:asciiTheme="minorEastAsia" w:hAnsiTheme="minorEastAsia" w:eastAsiaTheme="minorEastAsia" w:cstheme="minorEastAsia"/>
          <w:bCs/>
          <w:sz w:val="24"/>
          <w:szCs w:val="24"/>
          <w:highlight w:val="none"/>
          <w:lang w:val="en-US" w:eastAsia="zh-CN"/>
        </w:rPr>
        <w:t>.</w:t>
      </w:r>
      <w:r>
        <w:rPr>
          <w:rFonts w:hint="eastAsia" w:asciiTheme="minorEastAsia" w:hAnsiTheme="minorEastAsia" w:eastAsiaTheme="minorEastAsia" w:cstheme="minorEastAsia"/>
          <w:bCs/>
          <w:sz w:val="24"/>
          <w:szCs w:val="24"/>
          <w:highlight w:val="none"/>
          <w:lang w:eastAsia="zh-CN"/>
        </w:rPr>
        <w:t>合同一方因解散、破产等原因终止经营的。</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4</w:t>
      </w:r>
      <w:r>
        <w:rPr>
          <w:rFonts w:hint="eastAsia" w:asciiTheme="minorEastAsia" w:hAnsiTheme="minorEastAsia" w:eastAsiaTheme="minorEastAsia" w:cstheme="minorEastAsia"/>
          <w:bCs/>
          <w:sz w:val="24"/>
          <w:szCs w:val="24"/>
          <w:highlight w:val="none"/>
          <w:lang w:val="en-US" w:eastAsia="zh-CN"/>
        </w:rPr>
        <w:t>.</w:t>
      </w:r>
      <w:r>
        <w:rPr>
          <w:rFonts w:hint="eastAsia" w:asciiTheme="minorEastAsia" w:hAnsiTheme="minorEastAsia" w:eastAsiaTheme="minorEastAsia" w:cstheme="minorEastAsia"/>
          <w:bCs/>
          <w:sz w:val="24"/>
          <w:szCs w:val="24"/>
          <w:highlight w:val="none"/>
          <w:lang w:eastAsia="zh-CN"/>
        </w:rPr>
        <w:t>甲、乙双方经协商一致，可以书面形式解除合同。</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因双方停止合作的原因解除合同的，甲乙双方均有责任在合理的期限内向对方归还或销毁（在对方的指导、监督下进行）对方在项目过程中所提供的所有资料、文档及相关的软件（如有）等，合同解除后，合同双方的参与者仍然要遵循保密责任的规定。</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十二、合同转让与继承</w:t>
      </w:r>
      <w:bookmarkEnd w:id="161"/>
      <w:bookmarkEnd w:id="162"/>
      <w:bookmarkEnd w:id="163"/>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bookmarkStart w:id="164" w:name="_Toc207525275"/>
      <w:bookmarkStart w:id="165" w:name="_Toc514169493"/>
      <w:bookmarkStart w:id="166" w:name="_Toc204763764"/>
      <w:r>
        <w:rPr>
          <w:rFonts w:hint="eastAsia" w:asciiTheme="minorEastAsia" w:hAnsiTheme="minorEastAsia" w:eastAsiaTheme="minorEastAsia" w:cstheme="minorEastAsia"/>
          <w:bCs/>
          <w:sz w:val="24"/>
          <w:szCs w:val="24"/>
          <w:highlight w:val="none"/>
          <w:lang w:eastAsia="zh-CN"/>
        </w:rPr>
        <w:t>第22条 合同转让及分包</w:t>
      </w:r>
    </w:p>
    <w:p>
      <w:pPr>
        <w:pStyle w:val="9"/>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未经甲方同意，乙方不得将全部或部分</w:t>
      </w:r>
      <w:r>
        <w:rPr>
          <w:rFonts w:hint="eastAsia" w:asciiTheme="minorEastAsia" w:hAnsiTheme="minorEastAsia" w:eastAsiaTheme="minorEastAsia" w:cstheme="minorEastAsia"/>
          <w:bCs/>
          <w:sz w:val="24"/>
          <w:szCs w:val="24"/>
          <w:highlight w:val="none"/>
          <w:lang w:val="en-US" w:eastAsia="zh-CN"/>
        </w:rPr>
        <w:t>工作</w:t>
      </w:r>
      <w:r>
        <w:rPr>
          <w:rFonts w:hint="eastAsia" w:asciiTheme="minorEastAsia" w:hAnsiTheme="minorEastAsia" w:eastAsiaTheme="minorEastAsia" w:cstheme="minorEastAsia"/>
          <w:bCs/>
          <w:sz w:val="24"/>
          <w:szCs w:val="24"/>
          <w:highlight w:val="none"/>
        </w:rPr>
        <w:t>转让或分包给任何第三方，否则，甲方有权解除合同并追究乙方的违约责任。</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第23条 合同继承</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本合同生效后，若甲方或乙方中任何一方出现合并、分立和重组等情形，其权利义务的合法承继者应恪守并履行其在本合同项下之相关义务。</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十三、违约责任</w:t>
      </w:r>
      <w:bookmarkEnd w:id="164"/>
      <w:bookmarkEnd w:id="165"/>
      <w:bookmarkEnd w:id="166"/>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bookmarkStart w:id="167" w:name="_Toc207525280"/>
      <w:bookmarkStart w:id="168" w:name="_Toc514169497"/>
      <w:bookmarkStart w:id="169" w:name="_Toc204763769"/>
      <w:r>
        <w:rPr>
          <w:rFonts w:hint="eastAsia" w:asciiTheme="minorEastAsia" w:hAnsiTheme="minorEastAsia" w:eastAsiaTheme="minorEastAsia" w:cstheme="minorEastAsia"/>
          <w:bCs/>
          <w:sz w:val="24"/>
          <w:szCs w:val="24"/>
          <w:highlight w:val="none"/>
          <w:lang w:eastAsia="zh-CN"/>
        </w:rPr>
        <w:t>第24条</w:t>
      </w:r>
      <w:r>
        <w:rPr>
          <w:rFonts w:hint="eastAsia" w:asciiTheme="minorEastAsia" w:hAnsiTheme="minorEastAsia" w:eastAsiaTheme="minorEastAsia" w:cstheme="minorEastAsia"/>
          <w:bCs/>
          <w:sz w:val="24"/>
          <w:szCs w:val="24"/>
          <w:highlight w:val="none"/>
          <w:lang w:val="en-US" w:eastAsia="zh-CN"/>
        </w:rPr>
        <w:t xml:space="preserve"> 由于乙方的原因，未能按项目进度计划完成工作，乙方应采取措施加快进度，并承担加快进度所增加的费用。 </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因乙方原因使竣工日期延误，每延误1日的误期赔偿金额为合同协议书的合同金额的1</w:t>
      </w:r>
      <w:r>
        <w:rPr>
          <w:rFonts w:hint="eastAsia" w:asciiTheme="minorEastAsia" w:hAnsiTheme="minorEastAsia" w:eastAsiaTheme="minorEastAsia" w:cstheme="minorEastAsia"/>
          <w:bCs/>
          <w:sz w:val="24"/>
          <w:szCs w:val="24"/>
          <w:highlight w:val="none"/>
          <w:lang w:val="en-US" w:eastAsia="zh-CN"/>
        </w:rPr>
        <w:fldChar w:fldCharType="begin"/>
      </w:r>
      <w:r>
        <w:rPr>
          <w:rFonts w:hint="eastAsia" w:asciiTheme="minorEastAsia" w:hAnsiTheme="minorEastAsia" w:eastAsiaTheme="minorEastAsia" w:cstheme="minorEastAsia"/>
          <w:bCs/>
          <w:sz w:val="24"/>
          <w:szCs w:val="24"/>
          <w:highlight w:val="none"/>
          <w:lang w:val="en-US" w:eastAsia="zh-CN"/>
        </w:rPr>
        <w:instrText xml:space="preserve"> HYPERLINK "http://www.baidu.com/link?url=MhiE_xxVXPsNqul0k3XeqUeMEOy8rtzr1gk0SXaJOHHXH3x036GQpGunUt1gXdM_Y5F2T-RHqEC-3D9AUMqnua" </w:instrText>
      </w:r>
      <w:r>
        <w:rPr>
          <w:rFonts w:hint="eastAsia" w:asciiTheme="minorEastAsia" w:hAnsiTheme="minorEastAsia" w:eastAsiaTheme="minorEastAsia" w:cstheme="minorEastAsia"/>
          <w:bCs/>
          <w:sz w:val="24"/>
          <w:szCs w:val="24"/>
          <w:highlight w:val="none"/>
          <w:lang w:val="en-US" w:eastAsia="zh-CN"/>
        </w:rPr>
        <w:fldChar w:fldCharType="separate"/>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lang w:val="en-US" w:eastAsia="zh-CN"/>
        </w:rPr>
        <w:fldChar w:fldCharType="end"/>
      </w:r>
      <w:r>
        <w:rPr>
          <w:rFonts w:hint="eastAsia" w:asciiTheme="minorEastAsia" w:hAnsiTheme="minorEastAsia" w:eastAsiaTheme="minorEastAsia" w:cstheme="minorEastAsia"/>
          <w:bCs/>
          <w:sz w:val="24"/>
          <w:szCs w:val="24"/>
          <w:highlight w:val="none"/>
          <w:lang w:val="en-US" w:eastAsia="zh-CN"/>
        </w:rPr>
        <w:t>向甲方支付逾期违约金，累计最高赔偿金额为合同协议书的合同价格的： /%或人民币金额为：30万元。</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eastAsia="zh-CN"/>
        </w:rPr>
        <w:t>第2</w:t>
      </w: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条 如因乙方及乙方所提供系统原因，未能满足技术协议所列事项，及未能达到系统建设要求，乙方应及时对系统进行咨询、开发、调试，</w:t>
      </w:r>
      <w:r>
        <w:rPr>
          <w:rFonts w:hint="eastAsia" w:asciiTheme="minorEastAsia" w:hAnsiTheme="minorEastAsia" w:eastAsiaTheme="minorEastAsia" w:cstheme="minorEastAsia"/>
          <w:bCs/>
          <w:sz w:val="24"/>
          <w:szCs w:val="24"/>
          <w:highlight w:val="none"/>
          <w:lang w:val="en-US" w:eastAsia="zh-CN"/>
        </w:rPr>
        <w:t>系统</w:t>
      </w:r>
      <w:r>
        <w:rPr>
          <w:rFonts w:hint="eastAsia" w:asciiTheme="minorEastAsia" w:hAnsiTheme="minorEastAsia" w:eastAsiaTheme="minorEastAsia" w:cstheme="minorEastAsia"/>
          <w:bCs/>
          <w:i w:val="0"/>
          <w:iCs w:val="0"/>
          <w:caps w:val="0"/>
          <w:color w:val="05073B"/>
          <w:spacing w:val="0"/>
          <w:sz w:val="24"/>
          <w:szCs w:val="24"/>
          <w:highlight w:val="none"/>
          <w:shd w:val="clear" w:color="auto" w:fill="auto"/>
          <w:lang w:eastAsia="zh-CN"/>
        </w:rPr>
        <w:t>开发过程中产生的所有费用，如开发团队的工资、软硬件升级费用以及第三方服务费用等，将由乙方负责支付。甲方有权对乙方的履行情况进行监督和检查，以确保问题得到妥善解决。</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第2</w:t>
      </w:r>
      <w:r>
        <w:rPr>
          <w:rFonts w:hint="eastAsia" w:asciiTheme="minorEastAsia" w:hAnsiTheme="minorEastAsia" w:eastAsiaTheme="minorEastAsia" w:cstheme="minorEastAsia"/>
          <w:bCs/>
          <w:sz w:val="24"/>
          <w:szCs w:val="24"/>
          <w:highlight w:val="none"/>
          <w:lang w:val="en-US" w:eastAsia="zh-CN"/>
        </w:rPr>
        <w:t>6</w:t>
      </w:r>
      <w:r>
        <w:rPr>
          <w:rFonts w:hint="eastAsia" w:asciiTheme="minorEastAsia" w:hAnsiTheme="minorEastAsia" w:eastAsiaTheme="minorEastAsia" w:cstheme="minorEastAsia"/>
          <w:bCs/>
          <w:sz w:val="24"/>
          <w:szCs w:val="24"/>
          <w:highlight w:val="none"/>
          <w:lang w:eastAsia="zh-CN"/>
        </w:rPr>
        <w:t>条 乙方提供的服务未能达到双方约定的要求，且乙方没有或无法解决相应问题时，双方通过友好协商解决。</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第2</w:t>
      </w: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lang w:eastAsia="zh-CN"/>
        </w:rPr>
        <w:t>条 由于甲方未能按照合同约定提供必要的工作配合或环境支持，而导致乙方无法履行本合同约定的，乙方不承担违约责任。</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eastAsia="zh-CN"/>
        </w:rPr>
        <w:t>第2</w:t>
      </w:r>
      <w:r>
        <w:rPr>
          <w:rFonts w:hint="eastAsia" w:asciiTheme="minorEastAsia" w:hAnsiTheme="minorEastAsia" w:eastAsiaTheme="minorEastAsia" w:cstheme="minorEastAsia"/>
          <w:bCs/>
          <w:sz w:val="24"/>
          <w:szCs w:val="24"/>
          <w:highlight w:val="none"/>
          <w:lang w:val="en-US" w:eastAsia="zh-CN"/>
        </w:rPr>
        <w:t>8</w:t>
      </w:r>
      <w:r>
        <w:rPr>
          <w:rFonts w:hint="eastAsia" w:asciiTheme="minorEastAsia" w:hAnsiTheme="minorEastAsia" w:eastAsiaTheme="minorEastAsia" w:cstheme="minorEastAsia"/>
          <w:bCs/>
          <w:sz w:val="24"/>
          <w:szCs w:val="24"/>
          <w:highlight w:val="none"/>
          <w:lang w:eastAsia="zh-CN"/>
        </w:rPr>
        <w:t>条 乙方保证为本合同组建的团队人员的稳定性。如果由于乙方原因确实需要更换团队骨干人员，需挑选同等级别、同等水平的替代人报请甲方审定，经甲方同意后方可更换，如因为乙方团队人员个人原因或与乙方解除劳动关系导致变更团队人员的，在乙方保证替代人员水平级别的前提下，甲方应对此充分谅解（乙方应在10天之内提供符合要求的备选人员且交接时间不小于20天）。未经甲方同意，乙方如果擅自或者无任何理由更换团队成员，甲方有权对乙方进行处罚。</w:t>
      </w:r>
      <w:r>
        <w:rPr>
          <w:rFonts w:hint="eastAsia" w:asciiTheme="minorEastAsia" w:hAnsiTheme="minorEastAsia" w:eastAsiaTheme="minorEastAsia" w:cstheme="minorEastAsia"/>
          <w:bCs/>
          <w:sz w:val="24"/>
          <w:szCs w:val="24"/>
          <w:highlight w:val="none"/>
          <w:lang w:val="en-US" w:eastAsia="zh-CN"/>
        </w:rPr>
        <w:t>具体处罚如下：</w:t>
      </w:r>
    </w:p>
    <w:p>
      <w:pPr>
        <w:pStyle w:val="53"/>
        <w:keepNext w:val="0"/>
        <w:keepLines w:val="0"/>
        <w:pageBreakBefore w:val="0"/>
        <w:widowControl/>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eastAsia="zh-CN"/>
        </w:rPr>
      </w:pPr>
      <w:r>
        <w:rPr>
          <w:rFonts w:hint="eastAsia" w:asciiTheme="minorEastAsia" w:hAnsiTheme="minorEastAsia" w:eastAsiaTheme="minorEastAsia" w:cstheme="minorEastAsia"/>
          <w:bCs/>
          <w:snapToGrid w:val="0"/>
          <w:kern w:val="0"/>
          <w:sz w:val="24"/>
          <w:szCs w:val="24"/>
          <w:highlight w:val="none"/>
          <w:lang w:val="en-US" w:eastAsia="zh-CN"/>
        </w:rPr>
        <w:t>1.</w:t>
      </w: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eastAsia="zh-CN"/>
        </w:rPr>
        <w:t>若乙方擅自更换团队成员，甲方有权要求乙方支付违约金，违约金的金额按照本次服务合同总额的</w:t>
      </w: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val="en-US" w:eastAsia="zh-CN"/>
        </w:rPr>
        <w:t>2</w:t>
      </w: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eastAsia="zh-CN"/>
        </w:rPr>
        <w:t>%计算，并在接到甲方书面通知后的10个工作日内支付。</w:t>
      </w:r>
    </w:p>
    <w:p>
      <w:pPr>
        <w:pStyle w:val="53"/>
        <w:keepNext w:val="0"/>
        <w:keepLines w:val="0"/>
        <w:pageBreakBefore w:val="0"/>
        <w:widowControl/>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napToGrid w:val="0"/>
          <w:kern w:val="0"/>
          <w:sz w:val="24"/>
          <w:szCs w:val="24"/>
          <w:highlight w:val="none"/>
          <w:lang w:eastAsia="zh-CN"/>
        </w:rPr>
      </w:pP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val="en-US" w:eastAsia="zh-CN"/>
        </w:rPr>
        <w:t>2.</w:t>
      </w: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eastAsia="zh-CN"/>
        </w:rPr>
        <w:t>若乙方未经甲方同意，无任何理由更换团队成员，且该行为对项目的进度或质量造成了实质性影响，甲方有权单方面终止合同，并要求乙方支付合同总额10%的违约金。</w:t>
      </w:r>
    </w:p>
    <w:p>
      <w:pPr>
        <w:pStyle w:val="53"/>
        <w:keepNext w:val="0"/>
        <w:keepLines w:val="0"/>
        <w:pageBreakBefore w:val="0"/>
        <w:widowControl/>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napToGrid w:val="0"/>
          <w:kern w:val="0"/>
          <w:sz w:val="24"/>
          <w:szCs w:val="24"/>
          <w:highlight w:val="none"/>
          <w:lang w:eastAsia="zh-CN"/>
        </w:rPr>
      </w:pP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val="en-US" w:eastAsia="zh-CN"/>
        </w:rPr>
        <w:t>3.</w:t>
      </w: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eastAsia="zh-CN"/>
        </w:rPr>
        <w:t>在乙方擅自更换团队成员的情况下，若甲方认为有必要，可以要求乙方立即停止服务，并重新组建符合合同约定的团队继续履行合同，因此产生的额外费用由乙方承担。</w:t>
      </w:r>
    </w:p>
    <w:p>
      <w:pPr>
        <w:pStyle w:val="53"/>
        <w:keepNext w:val="0"/>
        <w:keepLines w:val="0"/>
        <w:pageBreakBefore w:val="0"/>
        <w:widowControl/>
        <w:kinsoku/>
        <w:wordWrap/>
        <w:overflowPunct/>
        <w:topLinePunct w:val="0"/>
        <w:autoSpaceDE/>
        <w:autoSpaceDN/>
        <w:bidi w:val="0"/>
        <w:adjustRightInd/>
        <w:snapToGrid/>
        <w:spacing w:before="0" w:line="560" w:lineRule="exact"/>
        <w:ind w:firstLine="480" w:firstLineChars="200"/>
        <w:jc w:val="both"/>
        <w:textAlignment w:val="auto"/>
        <w:rPr>
          <w:rFonts w:hint="eastAsia" w:asciiTheme="minorEastAsia" w:hAnsiTheme="minorEastAsia" w:eastAsiaTheme="minorEastAsia" w:cstheme="minorEastAsia"/>
          <w:bCs/>
          <w:snapToGrid w:val="0"/>
          <w:kern w:val="0"/>
          <w:sz w:val="24"/>
          <w:szCs w:val="24"/>
          <w:highlight w:val="none"/>
          <w:lang w:eastAsia="zh-CN"/>
        </w:rPr>
      </w:pP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val="en-US" w:eastAsia="zh-CN"/>
        </w:rPr>
        <w:t>4.</w:t>
      </w:r>
      <w:r>
        <w:rPr>
          <w:rFonts w:hint="eastAsia" w:asciiTheme="minorEastAsia" w:hAnsiTheme="minorEastAsia" w:eastAsiaTheme="minorEastAsia" w:cstheme="minorEastAsia"/>
          <w:bCs/>
          <w:i w:val="0"/>
          <w:iCs w:val="0"/>
          <w:caps w:val="0"/>
          <w:snapToGrid w:val="0"/>
          <w:spacing w:val="0"/>
          <w:kern w:val="0"/>
          <w:sz w:val="24"/>
          <w:szCs w:val="24"/>
          <w:highlight w:val="none"/>
          <w:shd w:val="clear" w:color="auto" w:fill="auto"/>
          <w:lang w:eastAsia="zh-CN"/>
        </w:rPr>
        <w:t>乙方应确保其提供的团队成员具备相应的资质和能力，如因团队成员能力不足导致项目延期或质量不达标，乙方应承担相应责任，并赔偿甲方因此产生的损失。</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第2</w:t>
      </w:r>
      <w:r>
        <w:rPr>
          <w:rFonts w:hint="eastAsia" w:asciiTheme="minorEastAsia" w:hAnsiTheme="minorEastAsia" w:eastAsiaTheme="minorEastAsia" w:cstheme="minorEastAsia"/>
          <w:bCs/>
          <w:sz w:val="24"/>
          <w:szCs w:val="24"/>
          <w:highlight w:val="none"/>
          <w:lang w:val="en-US" w:eastAsia="zh-CN"/>
        </w:rPr>
        <w:t>9</w:t>
      </w:r>
      <w:r>
        <w:rPr>
          <w:rFonts w:hint="eastAsia" w:asciiTheme="minorEastAsia" w:hAnsiTheme="minorEastAsia" w:eastAsiaTheme="minorEastAsia" w:cstheme="minorEastAsia"/>
          <w:bCs/>
          <w:sz w:val="24"/>
          <w:szCs w:val="24"/>
          <w:highlight w:val="none"/>
          <w:lang w:eastAsia="zh-CN"/>
        </w:rPr>
        <w:t>条 对于因合同一方原因造成合同另一方不能或无法继续履行合同义务的，该合同另一方有权拒绝履行该合同义务，且并不承担由此产生的违约责任。</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w:t>
      </w:r>
      <w:r>
        <w:rPr>
          <w:rFonts w:hint="eastAsia" w:asciiTheme="minorEastAsia" w:hAnsiTheme="minorEastAsia" w:eastAsiaTheme="minorEastAsia" w:cstheme="minorEastAsia"/>
          <w:bCs/>
          <w:sz w:val="24"/>
          <w:szCs w:val="24"/>
          <w:highlight w:val="none"/>
          <w:lang w:val="en-US" w:eastAsia="zh-CN"/>
        </w:rPr>
        <w:t>30</w:t>
      </w:r>
      <w:r>
        <w:rPr>
          <w:rFonts w:hint="eastAsia" w:asciiTheme="minorEastAsia" w:hAnsiTheme="minorEastAsia" w:eastAsiaTheme="minorEastAsia" w:cstheme="minorEastAsia"/>
          <w:bCs/>
          <w:sz w:val="24"/>
          <w:szCs w:val="24"/>
          <w:highlight w:val="none"/>
          <w:lang w:eastAsia="zh-CN"/>
        </w:rPr>
        <w:t>条 本合同的任何条款或表述均不得被视为对一方权利的放弃，任何违约行为亦不得被免除责任，除非享有权利的一方以书面形式确认弃权或免除对方责任。任何一方以明示的方式同意免除或放弃追究另一方在某方面的违约责任，并不意味着免除或放弃追究该另一方在其他方面或后续发生的违约责任。</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第3</w:t>
      </w: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lang w:eastAsia="zh-CN"/>
        </w:rPr>
        <w:t>条 因不可抗力导致的双方无法履行义务的情况，可以免责，但应在不可抗力消失的情况下积极履行义务。</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rPr>
      </w:pPr>
      <w:bookmarkStart w:id="170" w:name="_Toc207525276"/>
      <w:bookmarkStart w:id="171" w:name="_Toc514169494"/>
      <w:bookmarkStart w:id="172" w:name="_Toc204763765"/>
      <w:r>
        <w:rPr>
          <w:rFonts w:hint="eastAsia" w:asciiTheme="minorEastAsia" w:hAnsiTheme="minorEastAsia" w:eastAsiaTheme="minorEastAsia" w:cstheme="minorEastAsia"/>
          <w:b w:val="0"/>
          <w:sz w:val="24"/>
          <w:szCs w:val="24"/>
          <w:highlight w:val="none"/>
        </w:rPr>
        <w:t>十四、索赔</w:t>
      </w:r>
      <w:bookmarkEnd w:id="170"/>
      <w:bookmarkEnd w:id="171"/>
      <w:bookmarkEnd w:id="172"/>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第3</w:t>
      </w: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lang w:eastAsia="zh-CN"/>
        </w:rPr>
        <w:t>条 出现以下情形的，甲方有权提出索赔，乙方必须按照以下约定做出赔偿：</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lang w:eastAsia="zh-CN"/>
        </w:rPr>
        <w:t>如乙方违反其技术协议中的承诺或约定，乙方应在项目过程中免费及时弥补，造成工期延误的应向甲方赔偿全部损失。</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lang w:eastAsia="zh-CN"/>
        </w:rPr>
        <w:t>乙方的团队成员的资质、经历和相关信息存在虚假信息的，或乙方大规模更换团队成员的，甲方有权根据实际情况索赔，索赔金额视损失程度而定。</w:t>
      </w:r>
    </w:p>
    <w:p>
      <w:pPr>
        <w:pStyle w:val="52"/>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第3</w:t>
      </w: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条 其他情况甲乙双方友好协商确定。</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rPr>
      </w:pPr>
      <w:bookmarkStart w:id="173" w:name="_Toc204763766"/>
      <w:bookmarkStart w:id="174" w:name="_Toc207525277"/>
      <w:bookmarkStart w:id="175" w:name="_Toc514169495"/>
      <w:r>
        <w:rPr>
          <w:rFonts w:hint="eastAsia" w:asciiTheme="minorEastAsia" w:hAnsiTheme="minorEastAsia" w:eastAsiaTheme="minorEastAsia" w:cstheme="minorEastAsia"/>
          <w:b w:val="0"/>
          <w:sz w:val="24"/>
          <w:szCs w:val="24"/>
          <w:highlight w:val="none"/>
        </w:rPr>
        <w:t>十五、不可抗力</w:t>
      </w:r>
      <w:bookmarkEnd w:id="173"/>
      <w:bookmarkEnd w:id="174"/>
      <w:bookmarkEnd w:id="175"/>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第3</w:t>
      </w: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条 因地震、台风、洪水、严重的火灾、战争、暴乱或其他合同双方在不能预见、不能避免并不能克服的情况下发生的突发性事件，导致本合同不能履行或不能完全履行时，遭遇上述不可抗力的一方，应立即将相应情况以书面形式通知对方，并应于</w:t>
      </w:r>
      <w:r>
        <w:rPr>
          <w:rFonts w:hint="eastAsia" w:asciiTheme="minorEastAsia" w:hAnsiTheme="minorEastAsia" w:eastAsiaTheme="minorEastAsia" w:cstheme="minorEastAsia"/>
          <w:bCs/>
          <w:snapToGrid/>
          <w:sz w:val="24"/>
          <w:szCs w:val="24"/>
          <w:highlight w:val="none"/>
          <w:lang w:eastAsia="zh-CN"/>
        </w:rPr>
        <w:t>15</w:t>
      </w:r>
      <w:r>
        <w:rPr>
          <w:rFonts w:hint="eastAsia" w:asciiTheme="minorEastAsia" w:hAnsiTheme="minorEastAsia" w:eastAsiaTheme="minorEastAsia" w:cstheme="minorEastAsia"/>
          <w:bCs/>
          <w:sz w:val="24"/>
          <w:szCs w:val="24"/>
          <w:highlight w:val="none"/>
          <w:lang w:eastAsia="zh-CN"/>
        </w:rPr>
        <w:t>日内向对方提供不可抗力发生的详情及本合同不能履行、或者部分不能履行、或者需要延期履行的理由的有效证明文件。</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第3</w:t>
      </w: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条 根据不可抗力事由对履行本合同影响的程度，由双方协商决定解除本合同，或者部分免除本合同的履行义务，或者延期履行本合同等。</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第3</w:t>
      </w:r>
      <w:r>
        <w:rPr>
          <w:rFonts w:hint="eastAsia" w:asciiTheme="minorEastAsia" w:hAnsiTheme="minorEastAsia" w:eastAsiaTheme="minorEastAsia" w:cstheme="minorEastAsia"/>
          <w:bCs/>
          <w:sz w:val="24"/>
          <w:szCs w:val="24"/>
          <w:highlight w:val="none"/>
          <w:lang w:val="en-US" w:eastAsia="zh-CN"/>
        </w:rPr>
        <w:t>6</w:t>
      </w:r>
      <w:r>
        <w:rPr>
          <w:rFonts w:hint="eastAsia" w:asciiTheme="minorEastAsia" w:hAnsiTheme="minorEastAsia" w:eastAsiaTheme="minorEastAsia" w:cstheme="minorEastAsia"/>
          <w:bCs/>
          <w:sz w:val="24"/>
          <w:szCs w:val="24"/>
          <w:highlight w:val="none"/>
          <w:lang w:eastAsia="zh-CN"/>
        </w:rPr>
        <w:t>条 不可抗力的定义内容应按我国有关法律规定条款执行。</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bdr w:val="single" w:color="auto" w:sz="4" w:space="0"/>
          <w:lang w:eastAsia="zh-CN"/>
        </w:rPr>
      </w:pPr>
      <w:r>
        <w:rPr>
          <w:rFonts w:hint="eastAsia" w:asciiTheme="minorEastAsia" w:hAnsiTheme="minorEastAsia" w:eastAsiaTheme="minorEastAsia" w:cstheme="minorEastAsia"/>
          <w:bCs/>
          <w:sz w:val="24"/>
          <w:szCs w:val="24"/>
          <w:highlight w:val="none"/>
          <w:lang w:eastAsia="zh-CN"/>
        </w:rPr>
        <w:t>第3</w:t>
      </w: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lang w:eastAsia="zh-CN"/>
        </w:rPr>
        <w:t>条 不可抗力对合同双方均适用。</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rPr>
      </w:pPr>
      <w:bookmarkStart w:id="176" w:name="_Toc207525278"/>
      <w:bookmarkStart w:id="177" w:name="_Toc204763767"/>
      <w:bookmarkStart w:id="178" w:name="_Toc514169496"/>
      <w:r>
        <w:rPr>
          <w:rFonts w:hint="eastAsia" w:asciiTheme="minorEastAsia" w:hAnsiTheme="minorEastAsia" w:eastAsiaTheme="minorEastAsia" w:cstheme="minorEastAsia"/>
          <w:b w:val="0"/>
          <w:sz w:val="24"/>
          <w:szCs w:val="24"/>
          <w:highlight w:val="none"/>
        </w:rPr>
        <w:t>十六、争议</w:t>
      </w:r>
      <w:bookmarkEnd w:id="176"/>
      <w:bookmarkEnd w:id="177"/>
      <w:r>
        <w:rPr>
          <w:rFonts w:hint="eastAsia" w:asciiTheme="minorEastAsia" w:hAnsiTheme="minorEastAsia" w:eastAsiaTheme="minorEastAsia" w:cstheme="minorEastAsia"/>
          <w:b w:val="0"/>
          <w:sz w:val="24"/>
          <w:szCs w:val="24"/>
          <w:highlight w:val="none"/>
        </w:rPr>
        <w:t>解决</w:t>
      </w:r>
      <w:bookmarkEnd w:id="178"/>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snapToGrid w:val="0"/>
          <w:color w:val="auto"/>
          <w:kern w:val="0"/>
          <w:sz w:val="24"/>
          <w:szCs w:val="24"/>
          <w:highlight w:val="none"/>
        </w:rPr>
        <w:t>第3</w:t>
      </w:r>
      <w:r>
        <w:rPr>
          <w:rFonts w:hint="eastAsia" w:asciiTheme="minorEastAsia" w:hAnsiTheme="minorEastAsia" w:eastAsiaTheme="minorEastAsia" w:cstheme="minorEastAsia"/>
          <w:bCs/>
          <w:snapToGrid w:val="0"/>
          <w:color w:val="auto"/>
          <w:kern w:val="0"/>
          <w:sz w:val="24"/>
          <w:szCs w:val="24"/>
          <w:highlight w:val="none"/>
          <w:lang w:val="en-US" w:eastAsia="zh-CN"/>
        </w:rPr>
        <w:t>8</w:t>
      </w:r>
      <w:r>
        <w:rPr>
          <w:rFonts w:hint="eastAsia" w:asciiTheme="minorEastAsia" w:hAnsiTheme="minorEastAsia" w:eastAsiaTheme="minorEastAsia" w:cstheme="minorEastAsia"/>
          <w:bCs/>
          <w:snapToGrid w:val="0"/>
          <w:color w:val="auto"/>
          <w:kern w:val="0"/>
          <w:sz w:val="24"/>
          <w:szCs w:val="24"/>
          <w:highlight w:val="none"/>
        </w:rPr>
        <w:t xml:space="preserve">条 </w:t>
      </w:r>
      <w:r>
        <w:rPr>
          <w:rFonts w:hint="eastAsia" w:asciiTheme="minorEastAsia" w:hAnsiTheme="minorEastAsia" w:eastAsiaTheme="minorEastAsia" w:cstheme="minorEastAsia"/>
          <w:bCs/>
          <w:color w:val="auto"/>
          <w:sz w:val="24"/>
          <w:szCs w:val="24"/>
          <w:highlight w:val="none"/>
        </w:rPr>
        <w:t>对于合同执行中可能产生的以及与合同相关的所有争议，双方将本着诚实信用原则积极协商。若协商解决不成，可采取以下第</w:t>
      </w:r>
      <w:r>
        <w:rPr>
          <w:rFonts w:hint="eastAsia" w:asciiTheme="minorEastAsia" w:hAnsiTheme="minorEastAsia" w:eastAsiaTheme="minorEastAsia" w:cstheme="minorEastAsia"/>
          <w:bCs/>
          <w:color w:val="auto"/>
          <w:sz w:val="24"/>
          <w:szCs w:val="24"/>
          <w:highlight w:val="none"/>
          <w:u w:val="single"/>
          <w:lang w:val="en-US" w:eastAsia="zh-CN"/>
        </w:rPr>
        <w:t>一</w:t>
      </w:r>
      <w:r>
        <w:rPr>
          <w:rFonts w:hint="eastAsia" w:asciiTheme="minorEastAsia" w:hAnsiTheme="minorEastAsia" w:eastAsiaTheme="minorEastAsia" w:cstheme="minorEastAsia"/>
          <w:bCs/>
          <w:color w:val="auto"/>
          <w:sz w:val="24"/>
          <w:szCs w:val="24"/>
          <w:highlight w:val="none"/>
        </w:rPr>
        <w:t>种方式解决争议：</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1.</w:t>
      </w:r>
      <w:r>
        <w:rPr>
          <w:rFonts w:hint="eastAsia" w:asciiTheme="minorEastAsia" w:hAnsiTheme="minorEastAsia" w:eastAsiaTheme="minorEastAsia" w:cstheme="minorEastAsia"/>
          <w:bCs/>
          <w:color w:val="auto"/>
          <w:sz w:val="24"/>
          <w:szCs w:val="24"/>
          <w:highlight w:val="none"/>
        </w:rPr>
        <w:t>向甲方所在地人民法院提起诉讼。</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rPr>
        <w:t>将争议提交北京仲裁委员会按其现行仲裁规则进行仲裁，仲裁裁决是终局的，对双方均有约束力。</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十七、保密责任</w:t>
      </w:r>
      <w:bookmarkEnd w:id="167"/>
      <w:bookmarkEnd w:id="168"/>
      <w:bookmarkEnd w:id="169"/>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第3</w:t>
      </w:r>
      <w:r>
        <w:rPr>
          <w:rFonts w:hint="eastAsia" w:asciiTheme="minorEastAsia" w:hAnsiTheme="minorEastAsia" w:eastAsiaTheme="minorEastAsia" w:cstheme="minorEastAsia"/>
          <w:bCs/>
          <w:sz w:val="24"/>
          <w:szCs w:val="24"/>
          <w:highlight w:val="none"/>
          <w:lang w:val="en-US" w:eastAsia="zh-CN"/>
        </w:rPr>
        <w:t>9</w:t>
      </w:r>
      <w:r>
        <w:rPr>
          <w:rFonts w:hint="eastAsia" w:asciiTheme="minorEastAsia" w:hAnsiTheme="minorEastAsia" w:eastAsiaTheme="minorEastAsia" w:cstheme="minorEastAsia"/>
          <w:bCs/>
          <w:sz w:val="24"/>
          <w:szCs w:val="24"/>
          <w:highlight w:val="none"/>
        </w:rPr>
        <w:t>条 甲乙双方一致同意对因订立和履行本合同获知的对方的信息、资料等予以保密。</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rPr>
      </w:pPr>
      <w:bookmarkStart w:id="179" w:name="_Toc514169498"/>
      <w:bookmarkStart w:id="180" w:name="_Toc204763770"/>
      <w:bookmarkStart w:id="181" w:name="_Toc207525281"/>
      <w:r>
        <w:rPr>
          <w:rFonts w:hint="eastAsia" w:asciiTheme="minorEastAsia" w:hAnsiTheme="minorEastAsia" w:eastAsiaTheme="minorEastAsia" w:cstheme="minorEastAsia"/>
          <w:b w:val="0"/>
          <w:sz w:val="24"/>
          <w:szCs w:val="24"/>
          <w:highlight w:val="none"/>
        </w:rPr>
        <w:t>十八、工作成果所有权</w:t>
      </w:r>
      <w:bookmarkEnd w:id="179"/>
      <w:bookmarkEnd w:id="180"/>
      <w:bookmarkEnd w:id="181"/>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w:t>
      </w:r>
      <w:r>
        <w:rPr>
          <w:rFonts w:hint="eastAsia" w:asciiTheme="minorEastAsia" w:hAnsiTheme="minorEastAsia" w:eastAsiaTheme="minorEastAsia" w:cstheme="minorEastAsia"/>
          <w:bCs/>
          <w:sz w:val="24"/>
          <w:szCs w:val="24"/>
          <w:highlight w:val="none"/>
          <w:lang w:val="en-US" w:eastAsia="zh-CN"/>
        </w:rPr>
        <w:t>40</w:t>
      </w:r>
      <w:r>
        <w:rPr>
          <w:rFonts w:hint="eastAsia" w:asciiTheme="minorEastAsia" w:hAnsiTheme="minorEastAsia" w:eastAsiaTheme="minorEastAsia" w:cstheme="minorEastAsia"/>
          <w:bCs/>
          <w:sz w:val="24"/>
          <w:szCs w:val="24"/>
          <w:highlight w:val="none"/>
        </w:rPr>
        <w:t>条 本条所称“工作成果”指乙方为履行本合同而为甲方定制、创作、开发和制作的全部工作成果，工作成果由甲方拥有完全的所有权、使用权和支配权。乙方应无条件和不可撤销地向甲方转让对于任何工作成果的一切权利和利益，包括但不限于著作权和其他知识产权。</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bdr w:val="single" w:color="auto" w:sz="4" w:space="0"/>
        </w:rPr>
      </w:pPr>
      <w:r>
        <w:rPr>
          <w:rFonts w:hint="eastAsia" w:asciiTheme="minorEastAsia" w:hAnsiTheme="minorEastAsia" w:eastAsiaTheme="minorEastAsia" w:cstheme="minorEastAsia"/>
          <w:bCs/>
          <w:sz w:val="24"/>
          <w:szCs w:val="24"/>
          <w:highlight w:val="none"/>
        </w:rPr>
        <w:t>第4</w:t>
      </w: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条 乙方在本合同开始之前已经存在或在本合同之外开发和制作的软件、工具、材料等归乙方所有。但为履行本合同之目的，乙方应授权甲方在本合同履行期限内以及本合同履行完毕后无条件永久使用。</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第4</w:t>
      </w: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条 乙方保证向甲方提供的全部服务和交付的全部工作成果不侵犯任何第三方的知识产权及其他合法权益。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第4</w:t>
      </w: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条 如任何第三方指控甲方使用本合同成果或服务侵犯其知识产权或其他权益，乙方应自费为甲方或协助甲方进行答辩。如最终由司法机关或仲裁机关判决或裁定甲方构成侵权并需要赔偿，或在乙方同意前提下甲方与指控方进行和解，由此给甲方造成的相关损失（包括但不限于赔偿费、诉讼或仲裁费及律师费等）全部由乙方承担。</w:t>
      </w:r>
    </w:p>
    <w:p>
      <w:pPr>
        <w:pStyle w:val="26"/>
        <w:keepNext w:val="0"/>
        <w:keepLines w:val="0"/>
        <w:pageBreakBefore w:val="0"/>
        <w:kinsoku/>
        <w:wordWrap/>
        <w:overflowPunct/>
        <w:topLinePunct w:val="0"/>
        <w:autoSpaceDE/>
        <w:autoSpaceDN/>
        <w:bidi w:val="0"/>
        <w:adjustRightInd/>
        <w:snapToGrid/>
        <w:spacing w:before="0" w:beforeLines="0" w:after="0" w:afterLines="0" w:line="560" w:lineRule="exact"/>
        <w:ind w:firstLine="480" w:firstLineChars="200"/>
        <w:jc w:val="both"/>
        <w:textAlignment w:val="auto"/>
        <w:rPr>
          <w:rFonts w:hint="eastAsia" w:asciiTheme="minorEastAsia" w:hAnsiTheme="minorEastAsia" w:eastAsiaTheme="minorEastAsia" w:cstheme="minorEastAsia"/>
          <w:b w:val="0"/>
          <w:sz w:val="24"/>
          <w:szCs w:val="24"/>
          <w:highlight w:val="none"/>
        </w:rPr>
      </w:pPr>
      <w:r>
        <w:rPr>
          <w:rFonts w:hint="eastAsia" w:asciiTheme="minorEastAsia" w:hAnsiTheme="minorEastAsia" w:eastAsiaTheme="minorEastAsia" w:cstheme="minorEastAsia"/>
          <w:b w:val="0"/>
          <w:sz w:val="24"/>
          <w:szCs w:val="24"/>
          <w:highlight w:val="none"/>
        </w:rPr>
        <w:t>十九、其他事项</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第4</w:t>
      </w: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条 本合同一式</w:t>
      </w:r>
      <w:r>
        <w:rPr>
          <w:rFonts w:hint="eastAsia" w:asciiTheme="minorEastAsia" w:hAnsiTheme="minorEastAsia" w:eastAsiaTheme="minorEastAsia" w:cstheme="minorEastAsia"/>
          <w:bCs/>
          <w:sz w:val="24"/>
          <w:szCs w:val="24"/>
          <w:highlight w:val="none"/>
          <w:u w:val="single"/>
          <w:lang w:eastAsia="zh-CN"/>
        </w:rPr>
        <w:t xml:space="preserve"> </w:t>
      </w:r>
      <w:r>
        <w:rPr>
          <w:rFonts w:hint="eastAsia" w:asciiTheme="minorEastAsia" w:hAnsiTheme="minorEastAsia" w:eastAsiaTheme="minorEastAsia" w:cstheme="minorEastAsia"/>
          <w:bCs/>
          <w:sz w:val="24"/>
          <w:szCs w:val="24"/>
          <w:highlight w:val="none"/>
          <w:u w:val="single"/>
          <w:lang w:val="en-US" w:eastAsia="zh-CN"/>
        </w:rPr>
        <w:t>陆</w:t>
      </w:r>
      <w:r>
        <w:rPr>
          <w:rFonts w:hint="eastAsia" w:asciiTheme="minorEastAsia" w:hAnsiTheme="minorEastAsia" w:eastAsiaTheme="minorEastAsia" w:cstheme="minorEastAsia"/>
          <w:bCs/>
          <w:sz w:val="24"/>
          <w:szCs w:val="24"/>
          <w:highlight w:val="none"/>
          <w:u w:val="single"/>
          <w:lang w:eastAsia="zh-CN"/>
        </w:rPr>
        <w:t xml:space="preserve"> </w:t>
      </w:r>
      <w:r>
        <w:rPr>
          <w:rFonts w:hint="eastAsia" w:asciiTheme="minorEastAsia" w:hAnsiTheme="minorEastAsia" w:eastAsiaTheme="minorEastAsia" w:cstheme="minorEastAsia"/>
          <w:bCs/>
          <w:sz w:val="24"/>
          <w:szCs w:val="24"/>
          <w:highlight w:val="none"/>
          <w:lang w:eastAsia="zh-CN"/>
        </w:rPr>
        <w:t>份，甲方</w:t>
      </w:r>
      <w:r>
        <w:rPr>
          <w:rFonts w:hint="eastAsia" w:asciiTheme="minorEastAsia" w:hAnsiTheme="minorEastAsia" w:eastAsiaTheme="minorEastAsia" w:cstheme="minorEastAsia"/>
          <w:bCs/>
          <w:sz w:val="24"/>
          <w:szCs w:val="24"/>
          <w:highlight w:val="none"/>
          <w:u w:val="single"/>
          <w:lang w:eastAsia="zh-CN"/>
        </w:rPr>
        <w:t xml:space="preserve"> 贰 </w:t>
      </w:r>
      <w:r>
        <w:rPr>
          <w:rFonts w:hint="eastAsia" w:asciiTheme="minorEastAsia" w:hAnsiTheme="minorEastAsia" w:eastAsiaTheme="minorEastAsia" w:cstheme="minorEastAsia"/>
          <w:bCs/>
          <w:sz w:val="24"/>
          <w:szCs w:val="24"/>
          <w:highlight w:val="none"/>
          <w:lang w:eastAsia="zh-CN"/>
        </w:rPr>
        <w:t>份，乙方</w:t>
      </w:r>
      <w:r>
        <w:rPr>
          <w:rFonts w:hint="eastAsia" w:asciiTheme="minorEastAsia" w:hAnsiTheme="minorEastAsia" w:eastAsiaTheme="minorEastAsia" w:cstheme="minorEastAsia"/>
          <w:bCs/>
          <w:sz w:val="24"/>
          <w:szCs w:val="24"/>
          <w:highlight w:val="none"/>
          <w:u w:val="single"/>
          <w:lang w:eastAsia="zh-CN"/>
        </w:rPr>
        <w:t xml:space="preserve"> </w:t>
      </w:r>
      <w:r>
        <w:rPr>
          <w:rFonts w:hint="eastAsia" w:asciiTheme="minorEastAsia" w:hAnsiTheme="minorEastAsia" w:eastAsiaTheme="minorEastAsia" w:cstheme="minorEastAsia"/>
          <w:bCs/>
          <w:sz w:val="24"/>
          <w:szCs w:val="24"/>
          <w:highlight w:val="none"/>
          <w:u w:val="single"/>
          <w:lang w:val="en-US" w:eastAsia="zh-CN"/>
        </w:rPr>
        <w:t>肆</w:t>
      </w:r>
      <w:r>
        <w:rPr>
          <w:rFonts w:hint="eastAsia" w:asciiTheme="minorEastAsia" w:hAnsiTheme="minorEastAsia" w:eastAsiaTheme="minorEastAsia" w:cstheme="minorEastAsia"/>
          <w:bCs/>
          <w:sz w:val="24"/>
          <w:szCs w:val="24"/>
          <w:highlight w:val="none"/>
          <w:u w:val="single"/>
          <w:lang w:eastAsia="zh-CN"/>
        </w:rPr>
        <w:t xml:space="preserve"> </w:t>
      </w:r>
      <w:r>
        <w:rPr>
          <w:rFonts w:hint="eastAsia" w:asciiTheme="minorEastAsia" w:hAnsiTheme="minorEastAsia" w:eastAsiaTheme="minorEastAsia" w:cstheme="minorEastAsia"/>
          <w:bCs/>
          <w:sz w:val="24"/>
          <w:szCs w:val="24"/>
          <w:highlight w:val="none"/>
          <w:lang w:eastAsia="zh-CN"/>
        </w:rPr>
        <w:t>份，具有同等法律效力，自双方签字并盖章之日起生效。</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color w:val="000000"/>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第4</w:t>
      </w: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 xml:space="preserve">条 </w:t>
      </w:r>
      <w:r>
        <w:rPr>
          <w:rFonts w:hint="eastAsia" w:asciiTheme="minorEastAsia" w:hAnsiTheme="minorEastAsia" w:eastAsiaTheme="minorEastAsia" w:cstheme="minorEastAsia"/>
          <w:bCs/>
          <w:color w:val="000000"/>
          <w:sz w:val="24"/>
          <w:szCs w:val="24"/>
          <w:highlight w:val="none"/>
          <w:lang w:eastAsia="zh-CN"/>
        </w:rPr>
        <w:t>签署本协议时，甲乙双方需同时签署《供需双方廉洁互保协议》。</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第4</w:t>
      </w:r>
      <w:r>
        <w:rPr>
          <w:rFonts w:hint="eastAsia" w:asciiTheme="minorEastAsia" w:hAnsiTheme="minorEastAsia" w:eastAsiaTheme="minorEastAsia" w:cstheme="minorEastAsia"/>
          <w:bCs/>
          <w:sz w:val="24"/>
          <w:szCs w:val="24"/>
          <w:highlight w:val="none"/>
          <w:lang w:val="en-US" w:eastAsia="zh-CN"/>
        </w:rPr>
        <w:t>6</w:t>
      </w:r>
      <w:r>
        <w:rPr>
          <w:rFonts w:hint="eastAsia" w:asciiTheme="minorEastAsia" w:hAnsiTheme="minorEastAsia" w:eastAsiaTheme="minorEastAsia" w:cstheme="minorEastAsia"/>
          <w:bCs/>
          <w:sz w:val="24"/>
          <w:szCs w:val="24"/>
          <w:highlight w:val="none"/>
          <w:lang w:eastAsia="zh-CN"/>
        </w:rPr>
        <w:t>条 本合同的有效性不因双方法定代表人的变更或双方单位名称的变更，或双方授权代表的职务变换、工作变更、工作调动等情况而受到任何影响。</w:t>
      </w:r>
    </w:p>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napToGrid w:val="0"/>
          <w:kern w:val="0"/>
          <w:sz w:val="24"/>
          <w:szCs w:val="24"/>
          <w:highlight w:val="none"/>
        </w:rPr>
      </w:pPr>
      <w:r>
        <w:rPr>
          <w:rFonts w:hint="eastAsia" w:asciiTheme="minorEastAsia" w:hAnsiTheme="minorEastAsia" w:eastAsiaTheme="minorEastAsia" w:cstheme="minorEastAsia"/>
          <w:bCs/>
          <w:snapToGrid w:val="0"/>
          <w:kern w:val="0"/>
          <w:sz w:val="24"/>
          <w:szCs w:val="24"/>
          <w:highlight w:val="none"/>
        </w:rPr>
        <w:t>第4</w:t>
      </w:r>
      <w:r>
        <w:rPr>
          <w:rFonts w:hint="eastAsia" w:asciiTheme="minorEastAsia" w:hAnsiTheme="minorEastAsia" w:eastAsiaTheme="minorEastAsia" w:cstheme="minorEastAsia"/>
          <w:bCs/>
          <w:snapToGrid w:val="0"/>
          <w:kern w:val="0"/>
          <w:sz w:val="24"/>
          <w:szCs w:val="24"/>
          <w:highlight w:val="none"/>
          <w:lang w:val="en-US" w:eastAsia="zh-CN"/>
        </w:rPr>
        <w:t>7</w:t>
      </w:r>
      <w:r>
        <w:rPr>
          <w:rFonts w:hint="eastAsia" w:asciiTheme="minorEastAsia" w:hAnsiTheme="minorEastAsia" w:eastAsiaTheme="minorEastAsia" w:cstheme="minorEastAsia"/>
          <w:bCs/>
          <w:snapToGrid w:val="0"/>
          <w:kern w:val="0"/>
          <w:sz w:val="24"/>
          <w:szCs w:val="24"/>
          <w:highlight w:val="none"/>
        </w:rPr>
        <w:t>条 专用合同条款</w:t>
      </w:r>
    </w:p>
    <w:p>
      <w:pPr>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在合同期内，双方签署的各项文件均属于合同补充文件。构成本合同的各部分文件是相互补充的，若内容有冲突时，以日期在后的补充文件为准。</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lang w:eastAsia="zh-CN"/>
        </w:rPr>
        <w:t>合同期内，若发生服务内容、范围、工作量的变化，双方签订补充协议约定相关内容。</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附件1.供需双方廉洁互保协议</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附件2.技术协议</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eastAsia="zh-CN"/>
        </w:rPr>
        <w:t>附件3.保密协议</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eastAsia="zh-CN"/>
        </w:rPr>
        <w:t>附件</w:t>
      </w: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lang w:val="en-US" w:eastAsia="zh-CN"/>
        </w:rPr>
        <w:t>供应材料</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eastAsia="zh-CN"/>
        </w:rPr>
        <w:t>附件</w:t>
      </w: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lang w:val="en-US" w:eastAsia="zh-CN"/>
        </w:rPr>
        <w:t>安全管理协议</w:t>
      </w: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p>
    <w:p>
      <w:pPr>
        <w:pStyle w:val="53"/>
        <w:keepNext w:val="0"/>
        <w:keepLines w:val="0"/>
        <w:pageBreakBefore w:val="0"/>
        <w:kinsoku/>
        <w:wordWrap/>
        <w:overflowPunct/>
        <w:topLinePunct w:val="0"/>
        <w:autoSpaceDE/>
        <w:autoSpaceDN/>
        <w:bidi w:val="0"/>
        <w:adjustRightInd/>
        <w:snapToGrid/>
        <w:spacing w:before="0" w:after="0" w:line="560" w:lineRule="exact"/>
        <w:ind w:firstLine="480" w:firstLineChars="200"/>
        <w:jc w:val="both"/>
        <w:textAlignment w:val="auto"/>
        <w:rPr>
          <w:rFonts w:hint="eastAsia" w:asciiTheme="minorEastAsia" w:hAnsiTheme="minorEastAsia" w:eastAsiaTheme="minorEastAsia" w:cstheme="minorEastAsia"/>
          <w:bCs/>
          <w:sz w:val="24"/>
          <w:szCs w:val="24"/>
          <w:highlight w:val="none"/>
          <w:lang w:val="en-US" w:eastAsia="zh-CN"/>
        </w:rPr>
      </w:pPr>
    </w:p>
    <w:p>
      <w:pPr>
        <w:pStyle w:val="53"/>
        <w:spacing w:before="0" w:after="0" w:line="360" w:lineRule="auto"/>
        <w:ind w:left="0" w:leftChars="0" w:firstLine="0" w:firstLineChars="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br w:type="page"/>
      </w:r>
      <w:bookmarkEnd w:id="106"/>
      <w:r>
        <w:rPr>
          <w:rFonts w:hint="eastAsia" w:asciiTheme="minorEastAsia" w:hAnsiTheme="minorEastAsia" w:eastAsiaTheme="minorEastAsia" w:cstheme="minorEastAsia"/>
          <w:bCs/>
          <w:sz w:val="24"/>
          <w:szCs w:val="24"/>
          <w:highlight w:val="none"/>
          <w:lang w:eastAsia="zh-CN"/>
        </w:rPr>
        <w:t>【签字盖章页】【本页无正文】</w:t>
      </w:r>
    </w:p>
    <w:p>
      <w:pPr>
        <w:pStyle w:val="53"/>
        <w:spacing w:before="0" w:after="0" w:line="360" w:lineRule="auto"/>
        <w:ind w:firstLine="200"/>
        <w:jc w:val="both"/>
        <w:rPr>
          <w:rFonts w:hint="eastAsia" w:asciiTheme="minorEastAsia" w:hAnsiTheme="minorEastAsia" w:eastAsiaTheme="minorEastAsia" w:cstheme="minorEastAsia"/>
          <w:bCs/>
          <w:sz w:val="24"/>
          <w:szCs w:val="24"/>
          <w:lang w:eastAsia="zh-CN"/>
        </w:rPr>
      </w:pPr>
    </w:p>
    <w:p>
      <w:pPr>
        <w:tabs>
          <w:tab w:val="left" w:pos="4696"/>
        </w:tabs>
        <w:spacing w:before="0" w:after="0"/>
        <w:ind w:left="4800" w:hanging="3840" w:hangingChars="1600"/>
        <w:jc w:val="lef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甲方：</w:t>
      </w:r>
      <w:bookmarkStart w:id="182" w:name="_Hlk112320087"/>
      <w:r>
        <w:rPr>
          <w:rFonts w:hint="eastAsia" w:asciiTheme="minorEastAsia" w:hAnsiTheme="minorEastAsia" w:eastAsiaTheme="minorEastAsia" w:cstheme="minorEastAsia"/>
          <w:bCs/>
          <w:sz w:val="24"/>
          <w:szCs w:val="24"/>
        </w:rPr>
        <w:t>中煤</w:t>
      </w:r>
      <w:r>
        <w:rPr>
          <w:rFonts w:hint="eastAsia" w:asciiTheme="minorEastAsia" w:hAnsiTheme="minorEastAsia" w:eastAsiaTheme="minorEastAsia" w:cstheme="minorEastAsia"/>
          <w:bCs/>
          <w:sz w:val="24"/>
          <w:szCs w:val="24"/>
          <w:lang w:eastAsia="zh-CN"/>
        </w:rPr>
        <w:t>天津设计工程</w:t>
      </w:r>
      <w:bookmarkEnd w:id="182"/>
      <w:r>
        <w:rPr>
          <w:rFonts w:hint="eastAsia" w:asciiTheme="minorEastAsia" w:hAnsiTheme="minorEastAsia" w:eastAsiaTheme="minorEastAsia" w:cstheme="minorEastAsia"/>
          <w:bCs/>
          <w:sz w:val="24"/>
          <w:szCs w:val="24"/>
        </w:rPr>
        <w:t>有限</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乙方：</w:t>
      </w:r>
    </w:p>
    <w:p>
      <w:pPr>
        <w:tabs>
          <w:tab w:val="left" w:pos="4696"/>
        </w:tabs>
        <w:spacing w:before="0" w:after="0"/>
        <w:ind w:firstLine="720" w:firstLineChars="3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责任公司</w:t>
      </w:r>
      <w:r>
        <w:rPr>
          <w:rFonts w:hint="eastAsia" w:asciiTheme="minorEastAsia" w:hAnsiTheme="minorEastAsia" w:eastAsiaTheme="minorEastAsia" w:cstheme="minorEastAsia"/>
          <w:bCs/>
          <w:sz w:val="24"/>
          <w:szCs w:val="24"/>
          <w:lang w:val="en-US" w:eastAsia="zh-CN"/>
        </w:rPr>
        <w:t xml:space="preserve">                       </w:t>
      </w:r>
    </w:p>
    <w:p>
      <w:pPr>
        <w:tabs>
          <w:tab w:val="left" w:pos="4696"/>
        </w:tabs>
        <w:spacing w:before="0" w:after="0"/>
        <w:ind w:left="4800" w:hanging="3840" w:hangingChars="1600"/>
        <w:jc w:val="lef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 xml:space="preserve">     </w:t>
      </w:r>
    </w:p>
    <w:p>
      <w:pPr>
        <w:tabs>
          <w:tab w:val="left" w:pos="4696"/>
        </w:tabs>
        <w:spacing w:before="0" w:after="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法定代表人/委托代理人：</w:t>
      </w:r>
      <w:r>
        <w:rPr>
          <w:rFonts w:hint="eastAsia" w:asciiTheme="minorEastAsia" w:hAnsiTheme="minorEastAsia" w:eastAsiaTheme="minorEastAsia" w:cstheme="minorEastAsia"/>
          <w:bCs/>
          <w:sz w:val="24"/>
          <w:szCs w:val="24"/>
        </w:rPr>
        <w:tab/>
      </w:r>
      <w:r>
        <w:rPr>
          <w:rFonts w:hint="eastAsia" w:asciiTheme="minorEastAsia" w:hAnsiTheme="minorEastAsia" w:eastAsiaTheme="minorEastAsia" w:cstheme="minorEastAsia"/>
          <w:bCs/>
          <w:sz w:val="24"/>
          <w:szCs w:val="24"/>
        </w:rPr>
        <w:t>法定代表人/委托代理人：</w:t>
      </w:r>
    </w:p>
    <w:p>
      <w:pPr>
        <w:tabs>
          <w:tab w:val="left" w:pos="4696"/>
        </w:tabs>
        <w:spacing w:before="0" w:after="0"/>
        <w:jc w:val="left"/>
        <w:rPr>
          <w:rFonts w:hint="eastAsia" w:asciiTheme="minorEastAsia" w:hAnsiTheme="minorEastAsia" w:eastAsiaTheme="minorEastAsia" w:cstheme="minorEastAsia"/>
          <w:bCs/>
          <w:sz w:val="24"/>
          <w:szCs w:val="24"/>
        </w:rPr>
      </w:pPr>
    </w:p>
    <w:p>
      <w:pPr>
        <w:tabs>
          <w:tab w:val="left" w:pos="4696"/>
        </w:tabs>
        <w:spacing w:before="0" w:after="0"/>
        <w:ind w:left="4800" w:hanging="3840" w:hangingChars="1600"/>
        <w:jc w:val="lef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地址：</w:t>
      </w:r>
      <w:r>
        <w:rPr>
          <w:rFonts w:hint="eastAsia" w:asciiTheme="minorEastAsia" w:hAnsiTheme="minorEastAsia" w:eastAsiaTheme="minorEastAsia" w:cstheme="minorEastAsia"/>
          <w:bCs/>
          <w:sz w:val="24"/>
          <w:szCs w:val="24"/>
          <w:lang w:eastAsia="zh-CN"/>
        </w:rPr>
        <w:t>天津市红桥区大丰路</w:t>
      </w:r>
      <w:r>
        <w:rPr>
          <w:rFonts w:hint="eastAsia" w:asciiTheme="minorEastAsia" w:hAnsiTheme="minorEastAsia" w:eastAsiaTheme="minorEastAsia" w:cstheme="minorEastAsia"/>
          <w:bCs/>
          <w:sz w:val="24"/>
          <w:szCs w:val="24"/>
          <w:lang w:val="en-US" w:eastAsia="zh-CN"/>
        </w:rPr>
        <w:t xml:space="preserve">         地址：</w:t>
      </w:r>
    </w:p>
    <w:p>
      <w:pPr>
        <w:tabs>
          <w:tab w:val="left" w:pos="4696"/>
        </w:tabs>
        <w:spacing w:before="0" w:after="0"/>
        <w:ind w:left="6000" w:hanging="4800" w:hangingChars="2000"/>
        <w:jc w:val="lef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eastAsia="zh-CN"/>
        </w:rPr>
        <w:t>安顺大厦（水游城）</w:t>
      </w:r>
      <w:r>
        <w:rPr>
          <w:rFonts w:hint="eastAsia" w:asciiTheme="minorEastAsia" w:hAnsiTheme="minorEastAsia" w:eastAsiaTheme="minorEastAsia" w:cstheme="minorEastAsia"/>
          <w:bCs/>
          <w:sz w:val="24"/>
          <w:szCs w:val="24"/>
          <w:lang w:val="en-US" w:eastAsia="zh-CN"/>
        </w:rPr>
        <w:t xml:space="preserve">3号楼          </w:t>
      </w:r>
    </w:p>
    <w:p>
      <w:pPr>
        <w:tabs>
          <w:tab w:val="left" w:pos="4696"/>
        </w:tabs>
        <w:spacing w:before="0" w:after="0"/>
        <w:jc w:val="left"/>
        <w:rPr>
          <w:rFonts w:hint="eastAsia" w:asciiTheme="minorEastAsia" w:hAnsiTheme="minorEastAsia" w:eastAsiaTheme="minorEastAsia" w:cstheme="minorEastAsia"/>
          <w:bCs/>
          <w:sz w:val="24"/>
          <w:szCs w:val="24"/>
          <w:lang w:val="en-US" w:eastAsia="zh-CN"/>
        </w:rPr>
      </w:pPr>
    </w:p>
    <w:p>
      <w:pPr>
        <w:tabs>
          <w:tab w:val="left" w:pos="4696"/>
        </w:tabs>
        <w:spacing w:before="0" w:after="0"/>
        <w:jc w:val="lef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Cs/>
          <w:sz w:val="24"/>
          <w:szCs w:val="24"/>
          <w:lang w:val="en-US" w:eastAsia="zh-CN"/>
        </w:rPr>
        <w:t xml:space="preserve">   </w:t>
      </w:r>
    </w:p>
    <w:p>
      <w:pPr>
        <w:tabs>
          <w:tab w:val="left" w:pos="4214"/>
        </w:tabs>
        <w:spacing w:before="0" w:after="0"/>
        <w:jc w:val="lef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联系人：</w:t>
      </w:r>
      <w:r>
        <w:rPr>
          <w:rFonts w:hint="eastAsia" w:asciiTheme="minorEastAsia" w:hAnsiTheme="minorEastAsia" w:eastAsiaTheme="minorEastAsia" w:cstheme="minorEastAsia"/>
          <w:bCs/>
          <w:sz w:val="24"/>
          <w:szCs w:val="24"/>
          <w:lang w:val="en-US" w:eastAsia="zh-CN"/>
        </w:rPr>
        <w:t>杨杰</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联系人：</w:t>
      </w:r>
    </w:p>
    <w:p>
      <w:pPr>
        <w:tabs>
          <w:tab w:val="left" w:pos="4696"/>
        </w:tabs>
        <w:spacing w:before="0" w:after="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电话：</w:t>
      </w:r>
      <w:r>
        <w:rPr>
          <w:rFonts w:hint="eastAsia" w:asciiTheme="minorEastAsia" w:hAnsiTheme="minorEastAsia" w:eastAsiaTheme="minorEastAsia" w:cstheme="minorEastAsia"/>
          <w:bCs/>
          <w:sz w:val="24"/>
          <w:szCs w:val="24"/>
          <w:lang w:val="en-US" w:eastAsia="zh-CN"/>
        </w:rPr>
        <w:t xml:space="preserve">022-87779620             </w:t>
      </w:r>
      <w:r>
        <w:rPr>
          <w:rFonts w:hint="eastAsia" w:asciiTheme="minorEastAsia" w:hAnsiTheme="minorEastAsia" w:eastAsiaTheme="minorEastAsia" w:cstheme="minorEastAsia"/>
          <w:bCs/>
          <w:sz w:val="24"/>
          <w:szCs w:val="24"/>
        </w:rPr>
        <w:t>电话：</w:t>
      </w:r>
    </w:p>
    <w:p>
      <w:pPr>
        <w:tabs>
          <w:tab w:val="left" w:pos="4696"/>
        </w:tabs>
        <w:spacing w:before="0" w:after="0"/>
        <w:ind w:left="2400" w:leftChars="0" w:hanging="2400" w:hangingChars="100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rPr>
        <w:t>开户行：</w:t>
      </w:r>
      <w:r>
        <w:rPr>
          <w:rFonts w:hint="eastAsia" w:asciiTheme="minorEastAsia" w:hAnsiTheme="minorEastAsia" w:eastAsiaTheme="minorEastAsia" w:cstheme="minorEastAsia"/>
          <w:bCs/>
          <w:kern w:val="0"/>
          <w:sz w:val="24"/>
          <w:szCs w:val="24"/>
          <w:lang w:val="en-US" w:eastAsia="zh-CN"/>
        </w:rPr>
        <w:t xml:space="preserve">中国银行股份银行       </w:t>
      </w:r>
      <w:r>
        <w:rPr>
          <w:rFonts w:hint="eastAsia" w:asciiTheme="minorEastAsia" w:hAnsiTheme="minorEastAsia" w:eastAsiaTheme="minorEastAsia" w:cstheme="minorEastAsia"/>
          <w:bCs/>
          <w:sz w:val="24"/>
          <w:szCs w:val="24"/>
          <w:lang w:val="en-US" w:eastAsia="zh-CN"/>
        </w:rPr>
        <w:t>开户行：</w:t>
      </w:r>
    </w:p>
    <w:p>
      <w:pPr>
        <w:tabs>
          <w:tab w:val="left" w:pos="4696"/>
        </w:tabs>
        <w:spacing w:before="0" w:after="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 xml:space="preserve">有限公司天津红桥支行        </w:t>
      </w:r>
    </w:p>
    <w:p>
      <w:pPr>
        <w:spacing w:before="0" w:after="0"/>
        <w:ind w:left="0" w:leftChars="0" w:firstLine="0" w:firstLineChars="0"/>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bCs/>
          <w:kern w:val="0"/>
          <w:sz w:val="24"/>
          <w:szCs w:val="24"/>
        </w:rPr>
        <w:t>账号：</w:t>
      </w:r>
      <w:r>
        <w:rPr>
          <w:rFonts w:hint="eastAsia" w:asciiTheme="minorEastAsia" w:hAnsiTheme="minorEastAsia" w:eastAsiaTheme="minorEastAsia" w:cstheme="minorEastAsia"/>
          <w:bCs/>
          <w:kern w:val="0"/>
          <w:sz w:val="24"/>
          <w:szCs w:val="24"/>
          <w:lang w:val="en-US" w:eastAsia="zh-CN"/>
        </w:rPr>
        <w:t xml:space="preserve">2739 6982 9946            </w:t>
      </w:r>
      <w:r>
        <w:rPr>
          <w:rFonts w:hint="eastAsia" w:asciiTheme="minorEastAsia" w:hAnsiTheme="minorEastAsia" w:eastAsiaTheme="minorEastAsia" w:cstheme="minorEastAsia"/>
          <w:bCs/>
          <w:kern w:val="0"/>
          <w:sz w:val="24"/>
          <w:szCs w:val="24"/>
        </w:rPr>
        <w:t>账号：</w:t>
      </w:r>
    </w:p>
    <w:p>
      <w:pPr>
        <w:spacing w:before="0" w:after="0"/>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bCs/>
          <w:kern w:val="0"/>
          <w:sz w:val="24"/>
          <w:szCs w:val="24"/>
        </w:rPr>
        <w:t>税号：</w:t>
      </w:r>
      <w:r>
        <w:rPr>
          <w:rFonts w:hint="eastAsia" w:asciiTheme="minorEastAsia" w:hAnsiTheme="minorEastAsia" w:eastAsiaTheme="minorEastAsia" w:cstheme="minorEastAsia"/>
          <w:bCs/>
          <w:kern w:val="0"/>
          <w:sz w:val="24"/>
          <w:szCs w:val="24"/>
          <w:lang w:val="en-US" w:eastAsia="zh-CN"/>
        </w:rPr>
        <w:t xml:space="preserve">9112 0106 0520 6287 9J     </w:t>
      </w:r>
      <w:r>
        <w:rPr>
          <w:rFonts w:hint="eastAsia" w:asciiTheme="minorEastAsia" w:hAnsiTheme="minorEastAsia" w:eastAsiaTheme="minorEastAsia" w:cstheme="minorEastAsia"/>
          <w:bCs/>
          <w:kern w:val="0"/>
          <w:sz w:val="24"/>
          <w:szCs w:val="24"/>
        </w:rPr>
        <w:t>税号：</w:t>
      </w:r>
    </w:p>
    <w:p>
      <w:pPr>
        <w:tabs>
          <w:tab w:val="left" w:pos="4696"/>
        </w:tabs>
        <w:spacing w:before="0" w:after="0"/>
        <w:jc w:val="left"/>
        <w:rPr>
          <w:rFonts w:hint="eastAsia" w:asciiTheme="minorEastAsia" w:hAnsiTheme="minorEastAsia" w:eastAsiaTheme="minorEastAsia" w:cstheme="minorEastAsia"/>
          <w:bCs/>
          <w:sz w:val="24"/>
          <w:szCs w:val="24"/>
          <w:lang w:val="en-US" w:eastAsia="zh-CN"/>
        </w:rPr>
      </w:pPr>
    </w:p>
    <w:p>
      <w:pPr>
        <w:spacing w:before="0" w:after="0"/>
        <w:rPr>
          <w:rFonts w:hint="eastAsia" w:asciiTheme="minorEastAsia" w:hAnsiTheme="minorEastAsia" w:eastAsiaTheme="minorEastAsia" w:cstheme="minorEastAsia"/>
          <w:bCs/>
          <w:sz w:val="24"/>
          <w:szCs w:val="24"/>
        </w:rPr>
        <w:sectPr>
          <w:headerReference r:id="rId6" w:type="default"/>
          <w:footerReference r:id="rId7" w:type="default"/>
          <w:pgSz w:w="11906" w:h="16838"/>
          <w:pgMar w:top="1474" w:right="1304" w:bottom="1474" w:left="1531" w:header="1135" w:footer="130" w:gutter="0"/>
          <w:pgBorders>
            <w:top w:val="none" w:sz="0" w:space="0"/>
            <w:left w:val="none" w:sz="0" w:space="0"/>
            <w:bottom w:val="none" w:sz="0" w:space="0"/>
            <w:right w:val="none" w:sz="0" w:space="0"/>
          </w:pgBorders>
          <w:pgNumType w:start="1"/>
          <w:cols w:space="720" w:num="1"/>
          <w:rtlGutter w:val="0"/>
          <w:docGrid w:type="linesAndChars" w:linePitch="312" w:charSpace="0"/>
        </w:sectPr>
      </w:pPr>
      <w:r>
        <w:rPr>
          <w:rFonts w:hint="eastAsia" w:asciiTheme="minorEastAsia" w:hAnsiTheme="minorEastAsia" w:eastAsiaTheme="minorEastAsia" w:cstheme="minorEastAsia"/>
          <w:bCs/>
          <w:sz w:val="24"/>
          <w:szCs w:val="24"/>
        </w:rPr>
        <w:t xml:space="preserve">日期：    年   月   日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日期：    年   月   日</w:t>
      </w:r>
    </w:p>
    <w:p>
      <w:pPr>
        <w:tabs>
          <w:tab w:val="left" w:pos="4696"/>
        </w:tabs>
        <w:spacing w:before="0" w:after="0"/>
        <w:ind w:left="4800" w:hanging="3840" w:hangingChars="16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附件1:</w:t>
      </w:r>
    </w:p>
    <w:p>
      <w:pPr>
        <w:spacing w:before="0" w:after="0" w:line="540" w:lineRule="exact"/>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供需双方廉洁互保协议</w:t>
      </w:r>
    </w:p>
    <w:p>
      <w:pPr>
        <w:spacing w:before="0" w:after="0" w:line="540" w:lineRule="exact"/>
        <w:ind w:firstLine="480" w:firstLineChars="200"/>
        <w:rPr>
          <w:rFonts w:hint="eastAsia" w:asciiTheme="minorEastAsia" w:hAnsiTheme="minorEastAsia" w:eastAsiaTheme="minorEastAsia" w:cstheme="minorEastAsia"/>
          <w:bCs/>
          <w:sz w:val="24"/>
          <w:szCs w:val="24"/>
        </w:rPr>
      </w:pPr>
    </w:p>
    <w:p>
      <w:pPr>
        <w:spacing w:before="0" w:after="0" w:line="540" w:lineRule="exact"/>
        <w:ind w:firstLine="480" w:firstLineChars="20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甲方：中煤</w:t>
      </w:r>
      <w:r>
        <w:rPr>
          <w:rFonts w:hint="eastAsia" w:asciiTheme="minorEastAsia" w:hAnsiTheme="minorEastAsia" w:eastAsiaTheme="minorEastAsia" w:cstheme="minorEastAsia"/>
          <w:bCs/>
          <w:sz w:val="24"/>
          <w:szCs w:val="24"/>
          <w:lang w:val="en-US" w:eastAsia="zh-CN"/>
        </w:rPr>
        <w:t>天津设计工程有限责任公司</w:t>
      </w:r>
    </w:p>
    <w:p>
      <w:pPr>
        <w:spacing w:before="0" w:after="0" w:line="540" w:lineRule="exact"/>
        <w:ind w:firstLine="480" w:firstLineChars="200"/>
        <w:rPr>
          <w:rFonts w:hint="eastAsia" w:asciiTheme="minorEastAsia" w:hAnsiTheme="minorEastAsia" w:eastAsiaTheme="minorEastAsia" w:cstheme="minorEastAsia"/>
          <w:bCs/>
          <w:sz w:val="24"/>
          <w:szCs w:val="24"/>
          <w:u w:val="none"/>
          <w:lang w:val="en-US" w:eastAsia="zh-CN"/>
        </w:rPr>
      </w:pPr>
      <w:r>
        <w:rPr>
          <w:rFonts w:hint="eastAsia" w:asciiTheme="minorEastAsia" w:hAnsiTheme="minorEastAsia" w:eastAsiaTheme="minorEastAsia" w:cstheme="minorEastAsia"/>
          <w:bCs/>
          <w:sz w:val="24"/>
          <w:szCs w:val="24"/>
        </w:rPr>
        <w:t>乙方：</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为规范双方业务往来活动，建立诚实守信的商务合作关系，共同维护双方合法权益，防止违法违纪现象发生，经友好协商，双方就业务往来中的廉洁事宜达成此互保协议。</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第一条  甲乙双方共同的权利和义务</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1.严格遵守国家有关法律法规，坚持诚实守信原则，恪守商业道德，规范商务人员廉洁从业行为。</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2.双方业务活动坚持公开、公正、诚信、透明的原则（商业秘密和合同文件另有规定的除外），不得损害国家和对方利益。</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3.发现对方工作人员在业务活动中有违反廉洁规定的行为，有及时要求对方纠正并向对方举报的权利和义务；涉嫌违法的，可以依法向有关部门举报。</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4.对涉嫌不廉洁的商业行为进行调查时，双方有相互配合、提供证据、作证的义务。</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5.未经对方同意，不向任何新闻媒体、第三人述及有关对方工作人员恪守商业道德方面的评价、信息。</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6.双方应依法保护举报人员，不得以任何方式对举报人员进行打击报复。 </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第二条  甲方的廉洁责任</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1.甲方工作人员不得以任何形式索要或接受乙方的礼金、礼品和有价证券，不得在乙方报销任何应由个人支付的各种费用。</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2.甲方工作人员不得私自参加乙方安排的宴请，不得私自接受乙方提供的通讯、交通工具和办公用品，不得向乙方泄露谈判中的商业秘密。</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3.甲方工作人员不得要求或者接受乙方以住房装修、婚丧嫁娶、家属及其他亲属的工作安排、出国出境、旅游等为理由所提供的方便。</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4.甲方工作人员不得以任何理由向乙方推荐物资供应单位、工程承包或劳务分包单位，合同另有约定除外。</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第三条  乙方的廉洁责任</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1.乙方及其工作人员不得为甲方工作人员提供回扣、礼金、有价证券、贵重物品和报销个人费用。</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2.乙方及其工作人员不得为甲方工作人员安排有可能影响公平、公正交易的宴请、健身、娱乐等活动。</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3.乙方及其工作人员不得为甲方工作人员投资入股、个人借款或买卖股票、债券等提供方便。</w:t>
      </w:r>
    </w:p>
    <w:p>
      <w:pPr>
        <w:spacing w:before="0" w:after="0" w:line="540" w:lineRule="exact"/>
        <w:ind w:firstLine="480" w:firstLineChars="200"/>
        <w:rPr>
          <w:rFonts w:hint="eastAsia" w:asciiTheme="minorEastAsia" w:hAnsiTheme="minorEastAsia" w:eastAsiaTheme="minorEastAsia" w:cstheme="minorEastAsia"/>
          <w:bCs/>
          <w:spacing w:val="-8"/>
          <w:sz w:val="24"/>
          <w:szCs w:val="24"/>
          <w:highlight w:val="none"/>
        </w:rPr>
      </w:pPr>
      <w:r>
        <w:rPr>
          <w:rFonts w:hint="eastAsia" w:asciiTheme="minorEastAsia" w:hAnsiTheme="minorEastAsia" w:eastAsiaTheme="minorEastAsia" w:cstheme="minorEastAsia"/>
          <w:bCs/>
          <w:sz w:val="24"/>
          <w:szCs w:val="24"/>
          <w:highlight w:val="none"/>
        </w:rPr>
        <w:t>4.</w:t>
      </w:r>
      <w:r>
        <w:rPr>
          <w:rFonts w:hint="eastAsia" w:asciiTheme="minorEastAsia" w:hAnsiTheme="minorEastAsia" w:eastAsiaTheme="minorEastAsia" w:cstheme="minorEastAsia"/>
          <w:bCs/>
          <w:spacing w:val="-2"/>
          <w:sz w:val="24"/>
          <w:szCs w:val="24"/>
          <w:highlight w:val="none"/>
        </w:rPr>
        <w:t>乙方及其工作人员不得为甲方工作人员购买或装修住房、婚</w:t>
      </w:r>
      <w:r>
        <w:rPr>
          <w:rFonts w:hint="eastAsia" w:asciiTheme="minorEastAsia" w:hAnsiTheme="minorEastAsia" w:eastAsiaTheme="minorEastAsia" w:cstheme="minorEastAsia"/>
          <w:bCs/>
          <w:spacing w:val="-8"/>
          <w:sz w:val="24"/>
          <w:szCs w:val="24"/>
          <w:highlight w:val="none"/>
        </w:rPr>
        <w:t>丧嫁娶、配偶子女上学或工作安排以及出国出境、旅游等提供方便。</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5.乙方及其工作人员不得为甲方工作人员在其相关企业挂名兼职、合伙经营、介绍承揽业务等提供方便。</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6.乙方及其工作人员不得利用非法手段向甲方工作人员打探有关涉及甲方的商业秘密、业务渠道等。</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7.乙方及其工作人员与甲方发生业务往来过程中，不得有弄虚作假、以次充好、虚结虚算等违反诚信原则的行为。</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8.其他违反廉洁规定的行为。</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第四条  甲方工作人员有违反本协议行为的，甲方应按照管理权限，依据有关规定给予纪律处分、组织处理或经济处罚；涉嫌犯罪的，移交司法机关追究法律责任。</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第五条  乙方及其工作人员有违反本协议行为的，甲方有权根据情节和所造成的影响采取以下相应措施：</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1.情节轻微的，要求乙方对相关工作人员进行处分处理，并限期整改。</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2.导致甲方工作人员受到纪律处分、组织处理或构成违法犯罪的，扣罚乙方合同金额50%的违约金，列入永久禁入中煤市场黑名单。</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before="0" w:after="0" w:line="540" w:lineRule="exact"/>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第六条  本协议作为双方签订的所有业务合同的组成部分，与业务合同具有同等法律效力。</w:t>
      </w:r>
    </w:p>
    <w:p>
      <w:pPr>
        <w:spacing w:before="0" w:after="0"/>
        <w:ind w:firstLine="480" w:firstLineChars="200"/>
        <w:jc w:val="left"/>
        <w:rPr>
          <w:rFonts w:hint="eastAsia" w:asciiTheme="minorEastAsia" w:hAnsiTheme="minorEastAsia" w:eastAsiaTheme="minorEastAsia" w:cstheme="minorEastAsia"/>
          <w:bCs/>
          <w:spacing w:val="20"/>
          <w:sz w:val="24"/>
          <w:szCs w:val="24"/>
          <w:highlight w:val="none"/>
        </w:rPr>
      </w:pPr>
      <w:r>
        <w:rPr>
          <w:rFonts w:hint="eastAsia" w:asciiTheme="minorEastAsia" w:hAnsiTheme="minorEastAsia" w:eastAsiaTheme="minorEastAsia" w:cstheme="minorEastAsia"/>
          <w:bCs/>
          <w:sz w:val="24"/>
          <w:szCs w:val="24"/>
          <w:highlight w:val="none"/>
        </w:rPr>
        <w:t>第七条  本协议自双方签字盖章之日起生效，有效期与合同履约期一致。</w:t>
      </w:r>
    </w:p>
    <w:p>
      <w:pPr>
        <w:spacing w:before="0" w:after="0" w:line="540" w:lineRule="exact"/>
        <w:ind w:left="708" w:leftChars="354" w:firstLine="480" w:firstLineChars="200"/>
        <w:rPr>
          <w:rFonts w:hint="eastAsia" w:asciiTheme="minorEastAsia" w:hAnsiTheme="minorEastAsia" w:eastAsiaTheme="minorEastAsia" w:cstheme="minorEastAsia"/>
          <w:bCs/>
          <w:sz w:val="24"/>
          <w:szCs w:val="24"/>
        </w:rPr>
      </w:pPr>
    </w:p>
    <w:p>
      <w:pPr>
        <w:spacing w:before="0" w:after="0" w:line="540" w:lineRule="exact"/>
        <w:ind w:left="708" w:leftChars="354" w:firstLine="480" w:firstLineChars="200"/>
        <w:rPr>
          <w:rFonts w:hint="eastAsia" w:asciiTheme="minorEastAsia" w:hAnsiTheme="minorEastAsia" w:eastAsiaTheme="minorEastAsia" w:cstheme="minorEastAsia"/>
          <w:bCs/>
          <w:sz w:val="24"/>
          <w:szCs w:val="24"/>
        </w:rPr>
      </w:pPr>
    </w:p>
    <w:p>
      <w:pPr>
        <w:spacing w:before="0" w:after="0" w:line="540" w:lineRule="exact"/>
        <w:ind w:left="5700" w:hanging="4560" w:hangingChars="190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 xml:space="preserve">甲方：（盖章） </w:t>
      </w:r>
      <w:r>
        <w:rPr>
          <w:rFonts w:hint="eastAsia" w:asciiTheme="minorEastAsia" w:hAnsiTheme="minorEastAsia" w:eastAsiaTheme="minorEastAsia" w:cstheme="minorEastAsia"/>
          <w:bCs/>
          <w:sz w:val="24"/>
          <w:szCs w:val="24"/>
          <w:lang w:val="en-US" w:eastAsia="zh-CN"/>
        </w:rPr>
        <w:t>中煤天津设计工程有限责任公司</w:t>
      </w:r>
    </w:p>
    <w:p>
      <w:pPr>
        <w:spacing w:before="0" w:after="0" w:line="540" w:lineRule="exact"/>
        <w:ind w:left="4560" w:leftChars="0" w:hanging="4560" w:hangingChars="19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授权代表人：（签字）</w:t>
      </w:r>
    </w:p>
    <w:p>
      <w:pPr>
        <w:spacing w:before="0" w:after="0" w:line="540" w:lineRule="exact"/>
        <w:ind w:left="4590" w:leftChars="375" w:hanging="3840" w:hangingChars="1600"/>
        <w:rPr>
          <w:rFonts w:hint="eastAsia" w:asciiTheme="minorEastAsia" w:hAnsiTheme="minorEastAsia" w:eastAsiaTheme="minorEastAsia" w:cstheme="minorEastAsia"/>
          <w:bCs/>
          <w:sz w:val="24"/>
          <w:szCs w:val="24"/>
        </w:rPr>
      </w:pPr>
    </w:p>
    <w:p>
      <w:pPr>
        <w:spacing w:before="0" w:after="0" w:line="540" w:lineRule="exact"/>
        <w:rPr>
          <w:rFonts w:hint="eastAsia" w:asciiTheme="minorEastAsia" w:hAnsiTheme="minorEastAsia" w:eastAsiaTheme="minorEastAsia" w:cstheme="minorEastAsia"/>
          <w:bCs/>
          <w:color w:val="auto"/>
          <w:sz w:val="24"/>
          <w:szCs w:val="24"/>
          <w:u w:val="none"/>
          <w:lang w:val="en-US" w:eastAsia="zh-CN"/>
        </w:rPr>
      </w:pPr>
      <w:r>
        <w:rPr>
          <w:rFonts w:hint="eastAsia" w:asciiTheme="minorEastAsia" w:hAnsiTheme="minorEastAsia" w:eastAsiaTheme="minorEastAsia" w:cstheme="minorEastAsia"/>
          <w:bCs/>
          <w:sz w:val="24"/>
          <w:szCs w:val="24"/>
        </w:rPr>
        <w:t>乙方：（盖章）</w:t>
      </w:r>
    </w:p>
    <w:p>
      <w:pPr>
        <w:spacing w:before="0" w:after="0" w:line="54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授权代表人：（签字）</w:t>
      </w:r>
    </w:p>
    <w:p>
      <w:pPr>
        <w:spacing w:before="0" w:after="0" w:line="540" w:lineRule="exact"/>
        <w:rPr>
          <w:rFonts w:hint="eastAsia" w:asciiTheme="minorEastAsia" w:hAnsiTheme="minorEastAsia" w:eastAsiaTheme="minorEastAsia" w:cstheme="minorEastAsia"/>
          <w:bCs/>
          <w:sz w:val="24"/>
          <w:szCs w:val="24"/>
        </w:rPr>
      </w:pPr>
    </w:p>
    <w:p>
      <w:pPr>
        <w:spacing w:before="0" w:after="0" w:line="540" w:lineRule="exact"/>
        <w:ind w:firstLine="200"/>
        <w:rPr>
          <w:rFonts w:hint="eastAsia" w:asciiTheme="minorEastAsia" w:hAnsiTheme="minorEastAsia" w:eastAsiaTheme="minorEastAsia" w:cstheme="minorEastAsia"/>
          <w:bCs/>
          <w:sz w:val="24"/>
          <w:szCs w:val="24"/>
        </w:rPr>
        <w:sectPr>
          <w:headerReference r:id="rId8" w:type="default"/>
          <w:footerReference r:id="rId9" w:type="default"/>
          <w:pgSz w:w="11906" w:h="16838"/>
          <w:pgMar w:top="1474" w:right="1304" w:bottom="1474" w:left="1531" w:header="1135" w:footer="130" w:gutter="0"/>
          <w:pgBorders>
            <w:top w:val="none" w:sz="0" w:space="0"/>
            <w:left w:val="none" w:sz="0" w:space="0"/>
            <w:bottom w:val="none" w:sz="0" w:space="0"/>
            <w:right w:val="none" w:sz="0" w:space="0"/>
          </w:pgBorders>
          <w:cols w:space="720" w:num="1"/>
          <w:rtlGutter w:val="0"/>
          <w:docGrid w:type="linesAndChars" w:linePitch="312" w:charSpace="0"/>
        </w:sectPr>
      </w:pPr>
    </w:p>
    <w:p>
      <w:pPr>
        <w:spacing w:before="0" w:after="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附件3：</w:t>
      </w:r>
    </w:p>
    <w:p>
      <w:pPr>
        <w:spacing w:before="0" w:after="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保 密 协 议</w:t>
      </w:r>
    </w:p>
    <w:p>
      <w:pPr>
        <w:spacing w:before="0" w:after="0"/>
        <w:rPr>
          <w:rFonts w:hint="eastAsia" w:asciiTheme="minorEastAsia" w:hAnsiTheme="minorEastAsia" w:eastAsiaTheme="minorEastAsia" w:cstheme="minorEastAsia"/>
          <w:bCs/>
          <w:sz w:val="24"/>
          <w:szCs w:val="24"/>
        </w:rPr>
      </w:pPr>
    </w:p>
    <w:p>
      <w:pPr>
        <w:spacing w:before="0" w:after="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披 露 方:</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中煤</w:t>
      </w:r>
      <w:r>
        <w:rPr>
          <w:rFonts w:hint="eastAsia" w:asciiTheme="minorEastAsia" w:hAnsiTheme="minorEastAsia" w:eastAsiaTheme="minorEastAsia" w:cstheme="minorEastAsia"/>
          <w:bCs/>
          <w:sz w:val="24"/>
          <w:szCs w:val="24"/>
          <w:lang w:eastAsia="zh-CN"/>
        </w:rPr>
        <w:t>天津设计工程</w:t>
      </w:r>
      <w:r>
        <w:rPr>
          <w:rFonts w:hint="eastAsia" w:asciiTheme="minorEastAsia" w:hAnsiTheme="minorEastAsia" w:eastAsiaTheme="minorEastAsia" w:cstheme="minorEastAsia"/>
          <w:bCs/>
          <w:sz w:val="24"/>
          <w:szCs w:val="24"/>
        </w:rPr>
        <w:t>有限</w:t>
      </w:r>
      <w:r>
        <w:rPr>
          <w:rFonts w:hint="eastAsia" w:asciiTheme="minorEastAsia" w:hAnsiTheme="minorEastAsia" w:eastAsiaTheme="minorEastAsia" w:cstheme="minorEastAsia"/>
          <w:bCs/>
          <w:sz w:val="24"/>
          <w:szCs w:val="24"/>
          <w:lang w:eastAsia="zh-CN"/>
        </w:rPr>
        <w:t>责任</w:t>
      </w:r>
      <w:r>
        <w:rPr>
          <w:rFonts w:hint="eastAsia" w:asciiTheme="minorEastAsia" w:hAnsiTheme="minorEastAsia" w:eastAsiaTheme="minorEastAsia" w:cstheme="minorEastAsia"/>
          <w:bCs/>
          <w:sz w:val="24"/>
          <w:szCs w:val="24"/>
        </w:rPr>
        <w:t>公司</w:t>
      </w:r>
    </w:p>
    <w:p>
      <w:pPr>
        <w:spacing w:before="0" w:after="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法定代表人：</w:t>
      </w:r>
      <w:r>
        <w:rPr>
          <w:rFonts w:hint="eastAsia" w:asciiTheme="minorEastAsia" w:hAnsiTheme="minorEastAsia" w:eastAsiaTheme="minorEastAsia" w:cstheme="minorEastAsia"/>
          <w:bCs/>
          <w:sz w:val="24"/>
          <w:szCs w:val="24"/>
          <w:lang w:val="en-US" w:eastAsia="zh-CN"/>
        </w:rPr>
        <w:t xml:space="preserve"> </w:t>
      </w:r>
    </w:p>
    <w:p>
      <w:pPr>
        <w:spacing w:before="0" w:after="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地    址： </w:t>
      </w:r>
    </w:p>
    <w:p>
      <w:pPr>
        <w:spacing w:before="0" w:after="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邮    编：</w:t>
      </w:r>
    </w:p>
    <w:p>
      <w:pPr>
        <w:spacing w:before="0" w:after="0"/>
        <w:rPr>
          <w:rFonts w:hint="eastAsia" w:asciiTheme="minorEastAsia" w:hAnsiTheme="minorEastAsia" w:eastAsiaTheme="minorEastAsia" w:cstheme="minorEastAsia"/>
          <w:bCs/>
          <w:sz w:val="24"/>
          <w:szCs w:val="24"/>
        </w:rPr>
      </w:pPr>
    </w:p>
    <w:p>
      <w:pPr>
        <w:spacing w:before="0" w:after="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rPr>
        <w:t>接 收 方：</w:t>
      </w:r>
    </w:p>
    <w:p>
      <w:pPr>
        <w:spacing w:before="0" w:after="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法定代表人： </w:t>
      </w:r>
    </w:p>
    <w:p>
      <w:pPr>
        <w:spacing w:before="0" w:after="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地    址：</w:t>
      </w:r>
    </w:p>
    <w:p>
      <w:pPr>
        <w:spacing w:before="0" w:after="0"/>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rPr>
        <w:t>邮    编：</w:t>
      </w:r>
      <w:r>
        <w:rPr>
          <w:rFonts w:hint="eastAsia" w:asciiTheme="minorEastAsia" w:hAnsiTheme="minorEastAsia" w:eastAsiaTheme="minorEastAsia" w:cstheme="minorEastAsia"/>
          <w:bCs/>
          <w:sz w:val="24"/>
          <w:szCs w:val="24"/>
        </w:rPr>
        <w:br w:type="page"/>
      </w:r>
      <w:r>
        <w:rPr>
          <w:rFonts w:hint="eastAsia" w:asciiTheme="minorEastAsia" w:hAnsiTheme="minorEastAsia" w:eastAsiaTheme="minorEastAsia" w:cstheme="minorEastAsia"/>
          <w:bCs/>
          <w:sz w:val="24"/>
          <w:szCs w:val="24"/>
          <w:highlight w:val="none"/>
        </w:rPr>
        <w:t>鉴于</w:t>
      </w:r>
      <w:r>
        <w:rPr>
          <w:rFonts w:hint="eastAsia" w:asciiTheme="minorEastAsia" w:hAnsiTheme="minorEastAsia" w:eastAsiaTheme="minorEastAsia" w:cstheme="minorEastAsia"/>
          <w:bCs/>
          <w:sz w:val="24"/>
          <w:szCs w:val="24"/>
          <w:highlight w:val="none"/>
          <w:lang w:val="en-US" w:eastAsia="zh-CN"/>
        </w:rPr>
        <w:t>：</w:t>
      </w:r>
    </w:p>
    <w:p>
      <w:pPr>
        <w:spacing w:before="0" w:after="0"/>
        <w:ind w:firstLine="480" w:firstLineChars="200"/>
        <w:rPr>
          <w:rFonts w:hint="eastAsia" w:asciiTheme="minorEastAsia" w:hAnsiTheme="minorEastAsia" w:eastAsiaTheme="minorEastAsia" w:cstheme="minorEastAsia"/>
          <w:bCs/>
          <w:sz w:val="24"/>
          <w:szCs w:val="24"/>
          <w:highlight w:val="none"/>
          <w:u w:val="single"/>
        </w:rPr>
      </w:pPr>
      <w:r>
        <w:rPr>
          <w:rFonts w:hint="eastAsia" w:asciiTheme="minorEastAsia" w:hAnsiTheme="minorEastAsia" w:eastAsiaTheme="minorEastAsia" w:cstheme="minorEastAsia"/>
          <w:bCs/>
          <w:sz w:val="24"/>
          <w:szCs w:val="24"/>
          <w:highlight w:val="none"/>
        </w:rPr>
        <w:t>A、</w:t>
      </w:r>
      <w:r>
        <w:rPr>
          <w:rFonts w:hint="eastAsia" w:asciiTheme="minorEastAsia" w:hAnsiTheme="minorEastAsia" w:eastAsiaTheme="minorEastAsia" w:cstheme="minorEastAsia"/>
          <w:bCs/>
          <w:sz w:val="24"/>
          <w:szCs w:val="24"/>
          <w:highlight w:val="none"/>
          <w:lang w:val="en-US" w:eastAsia="zh-CN"/>
        </w:rPr>
        <w:t>中煤天津设计工程有限责任公司</w:t>
      </w:r>
      <w:r>
        <w:rPr>
          <w:rFonts w:hint="eastAsia" w:asciiTheme="minorEastAsia" w:hAnsiTheme="minorEastAsia" w:eastAsiaTheme="minorEastAsia" w:cstheme="minorEastAsia"/>
          <w:bCs/>
          <w:sz w:val="24"/>
          <w:szCs w:val="24"/>
          <w:highlight w:val="none"/>
        </w:rPr>
        <w:t>（以下简称“披露方”）委托接收方</w:t>
      </w:r>
      <w:r>
        <w:rPr>
          <w:rFonts w:hint="eastAsia" w:asciiTheme="minorEastAsia" w:hAnsiTheme="minorEastAsia" w:eastAsiaTheme="minorEastAsia" w:cstheme="minorEastAsia"/>
          <w:bCs/>
          <w:sz w:val="24"/>
          <w:szCs w:val="24"/>
          <w:highlight w:val="none"/>
          <w:u w:val="single"/>
        </w:rPr>
        <w:t>服务项目</w:t>
      </w:r>
      <w:r>
        <w:rPr>
          <w:rFonts w:hint="eastAsia" w:asciiTheme="minorEastAsia" w:hAnsiTheme="minorEastAsia" w:eastAsiaTheme="minorEastAsia" w:cstheme="minorEastAsia"/>
          <w:bCs/>
          <w:sz w:val="24"/>
          <w:szCs w:val="24"/>
          <w:highlight w:val="none"/>
        </w:rPr>
        <w:t xml:space="preserve">；接收方可获得披露方的保密信息； </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B、披露方期望能使其独有的保密信息免受非法使用和披露。</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基于以上前提和考虑</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且双方确认已知悉该等前提和考虑</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经友好协商，双方达成如下协议。</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一、保密信息</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保密信息指在接收方受委托期间（包括接受委托之前接洽的期间），披露方提供的全部文件、数据、软件文档、商业记录、项目记录、商业手册、政策和执行程序、商业信息、技术信息、法律信息、财务信息以及与工序、流程、技术、产品有关的信息。</w:t>
      </w:r>
    </w:p>
    <w:p>
      <w:pPr>
        <w:tabs>
          <w:tab w:val="left" w:pos="840"/>
        </w:tabs>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二、非保密信息</w:t>
      </w:r>
    </w:p>
    <w:p>
      <w:pPr>
        <w:tabs>
          <w:tab w:val="left" w:pos="840"/>
        </w:tabs>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尽管有前述规定，就本协议而言，以下各项可以不构成保密信息：</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2.1在本协议接洽前，已由接收方或其代表通过合法途径获得的信息资料；</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2.2非因本协议任何一方披露而公开的信息；</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2.3接收方从第三方获得的信息，但前提是接收方不知晓该信息的来源受任何协议的约束或其不知晓有其他规定禁止以协议、法律、代理或其他形式向其披露该信息；</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2.4非直接或间接利用披露方的保密信息而由接收方独立开发的信息；</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2.5披露方同意披露的信息资料；</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2.6处理与本协议或本项目有关的争议所需要披露的信息和资料。</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三、保密义务</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接收方承诺并同意接收保密信息并对该等接收到的信息予以保密。在不限制前述事宜的一般性的前提下</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接收方进一步承诺和同意</w:t>
      </w:r>
      <w:r>
        <w:rPr>
          <w:rFonts w:hint="eastAsia" w:asciiTheme="minorEastAsia" w:hAnsiTheme="minorEastAsia" w:eastAsiaTheme="minorEastAsia" w:cstheme="minorEastAsia"/>
          <w:bCs/>
          <w:sz w:val="24"/>
          <w:szCs w:val="24"/>
          <w:highlight w:val="none"/>
          <w:lang w:eastAsia="zh-CN"/>
        </w:rPr>
        <w:t>：</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3.l保密信息未经披露方授权不得使用、发表和披露</w:t>
      </w:r>
      <w:r>
        <w:rPr>
          <w:rFonts w:hint="eastAsia" w:asciiTheme="minorEastAsia" w:hAnsiTheme="minorEastAsia" w:eastAsiaTheme="minorEastAsia" w:cstheme="minorEastAsia"/>
          <w:bCs/>
          <w:sz w:val="24"/>
          <w:szCs w:val="24"/>
          <w:highlight w:val="none"/>
          <w:lang w:eastAsia="zh-CN"/>
        </w:rPr>
        <w:t>；</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3.2除非为了本协议所提及的目的</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不复制、使用</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不管是直接或间接</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任何该等保密信息；</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3.3不以任何形式</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无论直接或间接</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公开、报导、发表、披露、转让或以其他方式使用保密信息</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不泄露任何保密信息或源自保密信息的资料给第三方（包括但不限于接收方工作人员的家属和亲友）</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除非根据本协议获得披露方的特别许可；</w:t>
      </w:r>
    </w:p>
    <w:p>
      <w:pPr>
        <w:spacing w:before="0" w:after="0"/>
        <w:ind w:firstLine="480" w:firstLineChars="200"/>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3.4在任何与本协议所提及目的有关的商业活动或相当的商业活动中</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不利用该等保密信息来对披露方进行不公平竞争或获得不公平利益</w:t>
      </w:r>
      <w:r>
        <w:rPr>
          <w:rFonts w:hint="eastAsia" w:asciiTheme="minorEastAsia" w:hAnsiTheme="minorEastAsia" w:eastAsiaTheme="minorEastAsia" w:cstheme="minorEastAsia"/>
          <w:bCs/>
          <w:sz w:val="24"/>
          <w:szCs w:val="24"/>
          <w:highlight w:val="none"/>
          <w:lang w:eastAsia="zh-CN"/>
        </w:rPr>
        <w:t>；</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3.5保密信息应仅提供给那些为实施本协议所提及目的而需要了解有关信息的接收方（包括其关联公司和代理）相关人员；</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3.6告知能接触任何该等保密信息的接收方人员</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他们不得使用、发布或者以其他方式将保密信息披露给其他人员；不得允许其他人员为获取自身利益或损害披露方利益而使用保密信息；不得在工作过程中阅读接触到的重要文件资料内容，除确有必要（如自拟文件标题、图像处理等需要查看文件内容）外；不得带进、带出工作场所各种计算机磁盘、光盘等易于存储文件资料的存储介质；不得将档案材料带出工作场所；不得私自记录或议论披露方涉密文件材料的内容；</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3.7遵守披露方要求的任何其他合理的安全保障措施，包括但不限于接收方因工作需要必须带进工作场所的计算机软件工具类应用软件，须经披露方档案部门的书面同意，并在带出时办理检查登记手续；</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3.8披露方提供接收方因项目建设所需文件和资料等有形载体，仅限于接收方基于披露方要求的应用。接收方不得复制以上的任何文件和资料，或向任何第三方（包括但不限于接收方工作人员的家属和亲友）泄露；</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3.9就披露方而言，关联机构包括其控股或参股的公司。</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四、强制性的披露</w:t>
      </w:r>
    </w:p>
    <w:p>
      <w:pPr>
        <w:spacing w:before="0" w:after="0"/>
        <w:ind w:left="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如果接收方因法律法规的规定或法律法规授予监管机构的权利而被要求披露保密信息、或接收方或其代表根据保密信息对披露方及其子公司或关联机构提出的意见、判断或建议，则接收方应在法律允许且可行的情况下尽快把这种要求通知披露方，以使披露方可采取适当的补救措施防止披露或协助披露方取得补救措施。如果未能取得适当的补救措施，而接收方认为必须披露的，接收方可将必须披露的部分予以披露，并尽其最大努力要求有关部门对该信息予以保密。</w:t>
      </w:r>
    </w:p>
    <w:p>
      <w:pPr>
        <w:spacing w:before="0" w:after="0"/>
        <w:ind w:left="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如果接收方应监管机构的合法要求（除法律法规的规定或法律法规授予监管机构的权利外）需要披露保密信息、或接收方或其代表根据保密信息对披露方及其子公司或关联机构提出的意见、判断或建议，则接收方应合法且可行的前提下尽快把这种要求或规定通知披露方，以使披露方可采取适当的补救措施防止披露或协助披露方取得补救措施。如果未能取得适当的补救措施，而接收方认为必须披露的，则接收方可以将保密信息中，其认为必须披露的部分予以披露，并尽其最大努力要求有关部门对该信息予以保密。</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五、有效期限</w:t>
      </w:r>
    </w:p>
    <w:p>
      <w:pPr>
        <w:spacing w:before="0" w:after="0"/>
        <w:ind w:left="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本协议自双方签字盖章之日起生效，接收方在保密期限五年内负有保密义务。</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六、保密信息的交还</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接收方同意</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任何时候</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只要收到披露方的书面要求</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接收方应立即归还包含保密信息或与保密信息有关的全部记录、笔记及其他书面的、印刷的或者实物的材料，接收方为本合同项下工作的证据和记录而必须保存的工作底稿等资料除外。</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如果该保密信息属于不能归还的形式</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或已经复制或转录到其他材料中，则应销毁或删除之</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保密信息的交还和销毁费用应由披露方支付。</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接收方在结束本期工作后，所加工的数据经披露方验收合格后，必须无条件将其工作组机器内的数据彻底永久性删除。</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七、对保密信息不享有权利或利益</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7.l接收方于此同意和确认</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披露方并未将知识产权或类似许可</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不管是明示还是默示</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给予接收方从而让接收方使用保密信息</w:t>
      </w:r>
      <w:r>
        <w:rPr>
          <w:rFonts w:hint="eastAsia" w:asciiTheme="minorEastAsia" w:hAnsiTheme="minorEastAsia" w:eastAsiaTheme="minorEastAsia" w:cstheme="minorEastAsia"/>
          <w:bCs/>
          <w:sz w:val="24"/>
          <w:szCs w:val="24"/>
          <w:highlight w:val="none"/>
          <w:lang w:eastAsia="zh-CN"/>
        </w:rPr>
        <w:t>；</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7.2接收方同意</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所有产生于或者与保密信息有关的关于机械、设备、方法、工序、构成、产品等的发明、改进、工作和设计</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以及营销、使用、许可和特许保密信息及其所包含的思想、概念、方法或实践的权利</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均为披露方独家拥有的财产</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接收方对此没有任何权利和利益。</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八、违约责任</w:t>
      </w:r>
    </w:p>
    <w:p>
      <w:pPr>
        <w:spacing w:before="0" w:after="0"/>
        <w:ind w:left="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如果接收方违反本协议，给披露方、披露方的子公司或关联机构造成损失或损害，接收方应立即停止侵害，并赔偿披露方因此遭受的由第十一条所述仲裁机构确定的全部实际损失，确保披露方免于承担因接收方违约而产生的任何实际损失、索赔、损害或责任。</w:t>
      </w:r>
    </w:p>
    <w:p>
      <w:pPr>
        <w:spacing w:before="0" w:after="0"/>
        <w:ind w:left="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九、全部协议</w:t>
      </w:r>
    </w:p>
    <w:p>
      <w:pPr>
        <w:spacing w:before="0" w:after="0"/>
        <w:ind w:left="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本协议取代此前有关保密信息的口头或书面协议，构成双方就本协议项下项目有关的保密信息达成的全部协议。本协议须经双方签署书面协议方可修改。</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十、继任方和受让方</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非经另一方书面同意</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任何一方无权将本协议项下其权利或利益转让。本协议对各方代表、工作人员及其经同意的受让方和继任方均有约束力。</w:t>
      </w:r>
    </w:p>
    <w:p>
      <w:pPr>
        <w:spacing w:before="0" w:after="0"/>
        <w:ind w:left="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十一、争议解决</w:t>
      </w:r>
    </w:p>
    <w:p>
      <w:pPr>
        <w:spacing w:before="0" w:after="0"/>
        <w:ind w:left="105" w:firstLine="555"/>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同主服务协议。</w:t>
      </w:r>
    </w:p>
    <w:p>
      <w:pPr>
        <w:spacing w:before="0" w:after="0"/>
        <w:ind w:left="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十二、法律适用</w:t>
      </w:r>
    </w:p>
    <w:p>
      <w:pPr>
        <w:spacing w:before="0" w:after="0"/>
        <w:ind w:left="675"/>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本协议适用中国法律。</w:t>
      </w:r>
    </w:p>
    <w:p>
      <w:pPr>
        <w:spacing w:before="0" w:after="0"/>
        <w:ind w:left="0" w:leftChars="0"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十三、协议文本</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本协议为中文文本，一式</w:t>
      </w:r>
      <w:r>
        <w:rPr>
          <w:rFonts w:hint="eastAsia" w:asciiTheme="minorEastAsia" w:hAnsiTheme="minorEastAsia" w:eastAsiaTheme="minorEastAsia" w:cstheme="minorEastAsia"/>
          <w:bCs/>
          <w:sz w:val="24"/>
          <w:szCs w:val="24"/>
          <w:highlight w:val="none"/>
          <w:u w:val="single"/>
        </w:rPr>
        <w:t xml:space="preserve"> 肆 </w:t>
      </w:r>
      <w:r>
        <w:rPr>
          <w:rFonts w:hint="eastAsia" w:asciiTheme="minorEastAsia" w:hAnsiTheme="minorEastAsia" w:eastAsiaTheme="minorEastAsia" w:cstheme="minorEastAsia"/>
          <w:bCs/>
          <w:sz w:val="24"/>
          <w:szCs w:val="24"/>
          <w:highlight w:val="none"/>
        </w:rPr>
        <w:t>份，甲乙双方各</w:t>
      </w:r>
      <w:r>
        <w:rPr>
          <w:rFonts w:hint="eastAsia" w:asciiTheme="minorEastAsia" w:hAnsiTheme="minorEastAsia" w:eastAsiaTheme="minorEastAsia" w:cstheme="minorEastAsia"/>
          <w:bCs/>
          <w:sz w:val="24"/>
          <w:szCs w:val="24"/>
          <w:highlight w:val="none"/>
          <w:u w:val="single"/>
        </w:rPr>
        <w:t xml:space="preserve"> 贰 </w:t>
      </w:r>
      <w:r>
        <w:rPr>
          <w:rFonts w:hint="eastAsia" w:asciiTheme="minorEastAsia" w:hAnsiTheme="minorEastAsia" w:eastAsiaTheme="minorEastAsia" w:cstheme="minorEastAsia"/>
          <w:bCs/>
          <w:sz w:val="24"/>
          <w:szCs w:val="24"/>
          <w:highlight w:val="none"/>
        </w:rPr>
        <w:t>份，</w:t>
      </w:r>
      <w:r>
        <w:rPr>
          <w:rFonts w:hint="eastAsia" w:asciiTheme="minorEastAsia" w:hAnsiTheme="minorEastAsia" w:eastAsiaTheme="minorEastAsia" w:cstheme="minorEastAsia"/>
          <w:bCs/>
          <w:sz w:val="24"/>
          <w:szCs w:val="24"/>
          <w:highlight w:val="none"/>
          <w:lang w:val="en-US" w:eastAsia="zh-CN"/>
        </w:rPr>
        <w:t>肆</w:t>
      </w:r>
      <w:r>
        <w:rPr>
          <w:rFonts w:hint="eastAsia" w:asciiTheme="minorEastAsia" w:hAnsiTheme="minorEastAsia" w:eastAsiaTheme="minorEastAsia" w:cstheme="minorEastAsia"/>
          <w:bCs/>
          <w:sz w:val="24"/>
          <w:szCs w:val="24"/>
          <w:highlight w:val="none"/>
        </w:rPr>
        <w:t>份具有同等效力。</w:t>
      </w:r>
    </w:p>
    <w:p>
      <w:pPr>
        <w:pStyle w:val="53"/>
        <w:spacing w:before="0" w:after="0" w:line="360" w:lineRule="auto"/>
        <w:jc w:val="both"/>
        <w:rPr>
          <w:rFonts w:hint="eastAsia" w:asciiTheme="minorEastAsia" w:hAnsiTheme="minorEastAsia" w:eastAsiaTheme="minorEastAsia" w:cstheme="minorEastAsia"/>
          <w:bCs/>
          <w:smallCaps/>
          <w:snapToGrid/>
          <w:color w:val="000000"/>
          <w:kern w:val="2"/>
          <w:sz w:val="24"/>
          <w:szCs w:val="24"/>
          <w:highlight w:val="none"/>
          <w:u w:val="single"/>
          <w:lang w:eastAsia="zh-CN"/>
        </w:rPr>
      </w:pPr>
      <w:r>
        <w:rPr>
          <w:rFonts w:hint="eastAsia" w:asciiTheme="minorEastAsia" w:hAnsiTheme="minorEastAsia" w:eastAsiaTheme="minorEastAsia" w:cstheme="minorEastAsia"/>
          <w:bCs/>
          <w:smallCaps/>
          <w:snapToGrid/>
          <w:color w:val="000000"/>
          <w:kern w:val="2"/>
          <w:sz w:val="24"/>
          <w:szCs w:val="24"/>
          <w:highlight w:val="none"/>
          <w:u w:val="single"/>
          <w:lang w:eastAsia="zh-CN"/>
        </w:rPr>
        <w:t xml:space="preserve">签 字 </w:t>
      </w:r>
    </w:p>
    <w:p>
      <w:pPr>
        <w:spacing w:before="0" w:after="0" w:line="540" w:lineRule="exact"/>
        <w:ind w:left="5929" w:leftChars="20" w:hanging="5889" w:hangingChars="2454"/>
        <w:rPr>
          <w:rFonts w:hint="eastAsia" w:asciiTheme="minorEastAsia" w:hAnsiTheme="minorEastAsia" w:eastAsiaTheme="minorEastAsia" w:cstheme="minorEastAsia"/>
          <w:bCs/>
          <w:color w:val="000000"/>
          <w:sz w:val="24"/>
          <w:szCs w:val="24"/>
        </w:rPr>
      </w:pPr>
    </w:p>
    <w:p>
      <w:pPr>
        <w:spacing w:before="0" w:after="0" w:line="540" w:lineRule="exact"/>
        <w:ind w:left="5929" w:leftChars="20" w:hanging="5889" w:hangingChars="2454"/>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color w:val="000000"/>
          <w:sz w:val="24"/>
          <w:szCs w:val="24"/>
        </w:rPr>
        <w:t>甲方</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Cs/>
          <w:color w:val="000000"/>
          <w:sz w:val="24"/>
          <w:szCs w:val="24"/>
          <w:lang w:val="en-US" w:eastAsia="zh-CN"/>
        </w:rPr>
        <w:t>中煤天津设计工程有限责任公司</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Cs/>
          <w:color w:val="000000"/>
          <w:sz w:val="24"/>
          <w:szCs w:val="24"/>
        </w:rPr>
        <w:t xml:space="preserve"> </w:t>
      </w:r>
    </w:p>
    <w:p>
      <w:pPr>
        <w:spacing w:before="0" w:after="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法定代表人/委托代理人：</w:t>
      </w:r>
      <w:r>
        <w:rPr>
          <w:rFonts w:hint="eastAsia" w:asciiTheme="minorEastAsia" w:hAnsiTheme="minorEastAsia" w:eastAsiaTheme="minorEastAsia" w:cstheme="minorEastAsia"/>
          <w:bCs/>
          <w:color w:val="000000"/>
          <w:sz w:val="24"/>
          <w:szCs w:val="24"/>
        </w:rPr>
        <w:tab/>
      </w:r>
      <w:r>
        <w:rPr>
          <w:rFonts w:hint="eastAsia" w:asciiTheme="minorEastAsia" w:hAnsiTheme="minorEastAsia" w:eastAsiaTheme="minorEastAsia" w:cstheme="minorEastAsia"/>
          <w:bCs/>
          <w:color w:val="000000"/>
          <w:sz w:val="24"/>
          <w:szCs w:val="24"/>
        </w:rPr>
        <w:tab/>
      </w:r>
      <w:r>
        <w:rPr>
          <w:rFonts w:hint="eastAsia" w:asciiTheme="minorEastAsia" w:hAnsiTheme="minorEastAsia" w:eastAsiaTheme="minorEastAsia" w:cstheme="minorEastAsia"/>
          <w:bCs/>
          <w:color w:val="000000"/>
          <w:sz w:val="24"/>
          <w:szCs w:val="24"/>
        </w:rPr>
        <w:tab/>
      </w:r>
      <w:r>
        <w:rPr>
          <w:rFonts w:hint="eastAsia" w:asciiTheme="minorEastAsia" w:hAnsiTheme="minorEastAsia" w:eastAsiaTheme="minorEastAsia" w:cstheme="minorEastAsia"/>
          <w:bCs/>
          <w:color w:val="000000"/>
          <w:sz w:val="24"/>
          <w:szCs w:val="24"/>
        </w:rPr>
        <w:t xml:space="preserve">  </w:t>
      </w:r>
    </w:p>
    <w:p>
      <w:pPr>
        <w:spacing w:before="0" w:after="0"/>
        <w:jc w:val="both"/>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日期：    年   月   日</w:t>
      </w:r>
    </w:p>
    <w:p>
      <w:pPr>
        <w:spacing w:before="0" w:after="0"/>
        <w:rPr>
          <w:rFonts w:hint="eastAsia" w:asciiTheme="minorEastAsia" w:hAnsiTheme="minorEastAsia" w:eastAsiaTheme="minorEastAsia" w:cstheme="minorEastAsia"/>
          <w:bCs/>
          <w:color w:val="000000"/>
          <w:sz w:val="24"/>
          <w:szCs w:val="24"/>
        </w:rPr>
      </w:pPr>
    </w:p>
    <w:p>
      <w:pPr>
        <w:spacing w:before="0" w:after="0"/>
        <w:rPr>
          <w:rFonts w:hint="eastAsia" w:asciiTheme="minorEastAsia" w:hAnsiTheme="minorEastAsia" w:eastAsiaTheme="minorEastAsia" w:cstheme="minorEastAsia"/>
          <w:bCs/>
          <w:color w:val="000000"/>
          <w:sz w:val="24"/>
          <w:szCs w:val="24"/>
        </w:rPr>
      </w:pPr>
    </w:p>
    <w:p>
      <w:pPr>
        <w:spacing w:before="0" w:after="0"/>
        <w:rPr>
          <w:rFonts w:hint="eastAsia" w:asciiTheme="minorEastAsia" w:hAnsiTheme="minorEastAsia" w:eastAsiaTheme="minorEastAsia" w:cstheme="minorEastAsia"/>
          <w:bCs/>
          <w:color w:val="000000"/>
          <w:sz w:val="24"/>
          <w:szCs w:val="24"/>
          <w:u w:val="none"/>
          <w:lang w:val="en-US" w:eastAsia="zh-CN"/>
        </w:rPr>
      </w:pPr>
      <w:r>
        <w:rPr>
          <w:rFonts w:hint="eastAsia" w:asciiTheme="minorEastAsia" w:hAnsiTheme="minorEastAsia" w:eastAsiaTheme="minorEastAsia" w:cstheme="minorEastAsia"/>
          <w:bCs/>
          <w:color w:val="000000"/>
          <w:sz w:val="24"/>
          <w:szCs w:val="24"/>
        </w:rPr>
        <w:t>乙方：</w:t>
      </w:r>
    </w:p>
    <w:p>
      <w:pPr>
        <w:spacing w:before="0" w:after="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法定代表人/委托代理人：</w:t>
      </w:r>
    </w:p>
    <w:p>
      <w:pPr>
        <w:spacing w:before="0" w:after="0"/>
        <w:jc w:val="both"/>
        <w:rPr>
          <w:rFonts w:hint="eastAsia" w:asciiTheme="minorEastAsia" w:hAnsiTheme="minorEastAsia" w:eastAsiaTheme="minorEastAsia" w:cstheme="minorEastAsia"/>
          <w:bCs/>
          <w:color w:val="000000"/>
          <w:sz w:val="24"/>
          <w:szCs w:val="24"/>
        </w:rPr>
        <w:sectPr>
          <w:pgSz w:w="11906" w:h="16838"/>
          <w:pgMar w:top="1474" w:right="1304" w:bottom="1474" w:left="1531" w:header="1135" w:footer="629" w:gutter="0"/>
          <w:pgBorders>
            <w:top w:val="none" w:sz="0" w:space="0"/>
            <w:left w:val="none" w:sz="0" w:space="0"/>
            <w:bottom w:val="none" w:sz="0" w:space="0"/>
            <w:right w:val="none" w:sz="0" w:space="0"/>
          </w:pgBorders>
          <w:cols w:space="720" w:num="1"/>
          <w:rtlGutter w:val="0"/>
          <w:docGrid w:type="linesAndChars" w:linePitch="312" w:charSpace="0"/>
        </w:sectPr>
      </w:pPr>
      <w:r>
        <w:rPr>
          <w:rFonts w:hint="eastAsia" w:asciiTheme="minorEastAsia" w:hAnsiTheme="minorEastAsia" w:eastAsiaTheme="minorEastAsia" w:cstheme="minorEastAsia"/>
          <w:bCs/>
          <w:color w:val="000000"/>
          <w:sz w:val="24"/>
          <w:szCs w:val="24"/>
        </w:rPr>
        <w:t>日期：    年   月   日</w:t>
      </w:r>
    </w:p>
    <w:p>
      <w:pPr>
        <w:spacing w:before="0" w:after="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附件</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w:t>
      </w:r>
    </w:p>
    <w:p>
      <w:pPr>
        <w:spacing w:before="0" w:after="0"/>
        <w:jc w:val="center"/>
        <w:rPr>
          <w:rFonts w:hint="eastAsia" w:asciiTheme="minorEastAsia" w:hAnsiTheme="minorEastAsia" w:eastAsiaTheme="minorEastAsia" w:cstheme="minorEastAsia"/>
          <w:b/>
          <w:bCs w:val="0"/>
          <w:color w:val="000000"/>
          <w:sz w:val="24"/>
          <w:szCs w:val="24"/>
          <w:lang w:val="en-US" w:eastAsia="zh-CN"/>
        </w:rPr>
      </w:pPr>
      <w:r>
        <w:rPr>
          <w:rFonts w:hint="eastAsia" w:asciiTheme="minorEastAsia" w:hAnsiTheme="minorEastAsia" w:eastAsiaTheme="minorEastAsia" w:cstheme="minorEastAsia"/>
          <w:b/>
          <w:bCs w:val="0"/>
          <w:color w:val="000000"/>
          <w:sz w:val="24"/>
          <w:szCs w:val="24"/>
          <w:lang w:val="en-US" w:eastAsia="zh-CN"/>
        </w:rPr>
        <w:t>供应材料设备—览表</w:t>
      </w:r>
    </w:p>
    <w:tbl>
      <w:tblPr>
        <w:tblStyle w:val="29"/>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76"/>
        <w:gridCol w:w="1773"/>
        <w:gridCol w:w="1090"/>
        <w:gridCol w:w="1409"/>
        <w:gridCol w:w="1409"/>
        <w:gridCol w:w="1409"/>
        <w:gridCol w:w="1383"/>
        <w:gridCol w:w="179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9"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序号</w:t>
            </w:r>
          </w:p>
        </w:tc>
        <w:tc>
          <w:tcPr>
            <w:tcW w:w="1976"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材料、设备品种</w:t>
            </w:r>
          </w:p>
        </w:tc>
        <w:tc>
          <w:tcPr>
            <w:tcW w:w="1773"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规格型号</w:t>
            </w:r>
          </w:p>
        </w:tc>
        <w:tc>
          <w:tcPr>
            <w:tcW w:w="1090"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单位</w:t>
            </w:r>
          </w:p>
        </w:tc>
        <w:tc>
          <w:tcPr>
            <w:tcW w:w="1409"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数量</w:t>
            </w:r>
          </w:p>
        </w:tc>
        <w:tc>
          <w:tcPr>
            <w:tcW w:w="1409"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单价（元）</w:t>
            </w:r>
          </w:p>
        </w:tc>
        <w:tc>
          <w:tcPr>
            <w:tcW w:w="1409"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质量等级</w:t>
            </w:r>
          </w:p>
        </w:tc>
        <w:tc>
          <w:tcPr>
            <w:tcW w:w="1383"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供应时间</w:t>
            </w:r>
          </w:p>
        </w:tc>
        <w:tc>
          <w:tcPr>
            <w:tcW w:w="1793"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送达地点</w:t>
            </w:r>
          </w:p>
        </w:tc>
        <w:tc>
          <w:tcPr>
            <w:tcW w:w="1059" w:type="dxa"/>
            <w:noWrap w:val="0"/>
            <w:vAlign w:val="center"/>
          </w:tcPr>
          <w:p>
            <w:pPr>
              <w:widowControl w:val="0"/>
              <w:spacing w:before="0" w:after="0" w:line="240" w:lineRule="auto"/>
              <w:jc w:val="center"/>
              <w:rPr>
                <w:rFonts w:hint="eastAsia" w:asciiTheme="minorEastAsia" w:hAnsiTheme="minorEastAsia" w:eastAsiaTheme="minorEastAsia" w:cstheme="minorEastAsia"/>
                <w:b/>
                <w:bCs w:val="0"/>
                <w:color w:val="000000"/>
                <w:sz w:val="24"/>
                <w:szCs w:val="24"/>
                <w:vertAlign w:val="baseline"/>
                <w:lang w:val="en-US" w:eastAsia="zh-CN"/>
              </w:rPr>
            </w:pPr>
            <w:r>
              <w:rPr>
                <w:rFonts w:hint="eastAsia" w:asciiTheme="minorEastAsia" w:hAnsiTheme="minorEastAsia" w:eastAsiaTheme="minorEastAsia" w:cstheme="minorEastAsia"/>
                <w:b/>
                <w:bCs w:val="0"/>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976"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7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90"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38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9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5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976"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7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90"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38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9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5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976"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7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90"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38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9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5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976"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7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90"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38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9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5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976"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7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90"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38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9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5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976"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7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90"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40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38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793"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c>
          <w:tcPr>
            <w:tcW w:w="1059" w:type="dxa"/>
            <w:noWrap w:val="0"/>
            <w:vAlign w:val="center"/>
          </w:tcPr>
          <w:p>
            <w:pPr>
              <w:widowControl w:val="0"/>
              <w:spacing w:before="0" w:after="0"/>
              <w:jc w:val="center"/>
              <w:rPr>
                <w:rFonts w:hint="eastAsia" w:asciiTheme="minorEastAsia" w:hAnsiTheme="minorEastAsia" w:eastAsiaTheme="minorEastAsia" w:cstheme="minorEastAsia"/>
                <w:bCs/>
                <w:color w:val="000000"/>
                <w:sz w:val="24"/>
                <w:szCs w:val="24"/>
                <w:vertAlign w:val="baseline"/>
                <w:lang w:val="en-US" w:eastAsia="zh-CN"/>
              </w:rPr>
            </w:pPr>
          </w:p>
        </w:tc>
      </w:tr>
    </w:tbl>
    <w:p>
      <w:pPr>
        <w:spacing w:before="0" w:after="0"/>
        <w:jc w:val="both"/>
        <w:rPr>
          <w:rFonts w:hint="eastAsia" w:asciiTheme="minorEastAsia" w:hAnsiTheme="minorEastAsia" w:eastAsiaTheme="minorEastAsia" w:cstheme="minorEastAsia"/>
          <w:bCs/>
          <w:color w:val="000000"/>
          <w:sz w:val="24"/>
          <w:szCs w:val="24"/>
          <w:lang w:val="en-US" w:eastAsia="zh-CN"/>
        </w:rPr>
        <w:sectPr>
          <w:pgSz w:w="16838" w:h="11906" w:orient="landscape"/>
          <w:pgMar w:top="1797" w:right="1474" w:bottom="1514" w:left="1474" w:header="1135" w:footer="628" w:gutter="0"/>
          <w:pgBorders>
            <w:top w:val="none" w:sz="0" w:space="0"/>
            <w:left w:val="none" w:sz="0" w:space="0"/>
            <w:bottom w:val="none" w:sz="0" w:space="0"/>
            <w:right w:val="none" w:sz="0" w:space="0"/>
          </w:pgBorders>
          <w:cols w:space="720" w:num="1"/>
          <w:docGrid w:type="linesAndChars" w:linePitch="312" w:charSpace="0"/>
        </w:sectPr>
      </w:pPr>
    </w:p>
    <w:p>
      <w:pPr>
        <w:spacing w:before="0" w:after="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附件</w:t>
      </w: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rPr>
        <w:t>：</w:t>
      </w:r>
    </w:p>
    <w:p>
      <w:pPr>
        <w:tabs>
          <w:tab w:val="left" w:pos="360"/>
          <w:tab w:val="left" w:pos="720"/>
          <w:tab w:val="left" w:pos="3060"/>
        </w:tabs>
        <w:spacing w:line="400" w:lineRule="exact"/>
        <w:jc w:val="center"/>
        <w:outlineLvl w:val="1"/>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安全生产、环境保护与职业健康管理协议</w:t>
      </w:r>
    </w:p>
    <w:p>
      <w:pPr>
        <w:tabs>
          <w:tab w:val="left" w:pos="360"/>
          <w:tab w:val="left" w:pos="720"/>
          <w:tab w:val="left" w:pos="3060"/>
        </w:tabs>
        <w:spacing w:line="400" w:lineRule="exact"/>
        <w:jc w:val="center"/>
        <w:outlineLvl w:val="1"/>
        <w:rPr>
          <w:rFonts w:hint="eastAsia" w:asciiTheme="minorEastAsia" w:hAnsiTheme="minorEastAsia" w:eastAsiaTheme="minorEastAsia" w:cstheme="minorEastAsia"/>
          <w:b/>
          <w:sz w:val="24"/>
          <w:szCs w:val="24"/>
          <w:highlight w:val="none"/>
        </w:rPr>
      </w:pPr>
    </w:p>
    <w:p>
      <w:pPr>
        <w:pStyle w:val="25"/>
        <w:tabs>
          <w:tab w:val="left" w:pos="720"/>
        </w:tabs>
        <w:spacing w:before="0" w:beforeAutospacing="0" w:after="0" w:afterAutospacing="0" w:line="360" w:lineRule="auto"/>
        <w:ind w:right="26"/>
        <w:jc w:val="both"/>
        <w:rPr>
          <w:rFonts w:hint="eastAsia" w:asciiTheme="minorEastAsia" w:hAnsiTheme="minorEastAsia" w:eastAsiaTheme="minorEastAsia" w:cstheme="minorEastAsia"/>
          <w:bCs/>
          <w:kern w:val="2"/>
          <w:sz w:val="24"/>
          <w:szCs w:val="24"/>
          <w:highlight w:val="none"/>
          <w:lang w:val="en-US" w:eastAsia="zh-CN" w:bidi="ar-SA"/>
        </w:rPr>
      </w:pPr>
      <w:r>
        <w:rPr>
          <w:rFonts w:hint="eastAsia" w:asciiTheme="minorEastAsia" w:hAnsiTheme="minorEastAsia" w:eastAsiaTheme="minorEastAsia" w:cstheme="minorEastAsia"/>
          <w:bCs/>
          <w:kern w:val="2"/>
          <w:sz w:val="24"/>
          <w:szCs w:val="24"/>
          <w:highlight w:val="none"/>
          <w:lang w:val="en-US" w:eastAsia="zh-CN" w:bidi="ar-SA"/>
        </w:rPr>
        <w:t>甲方：中煤天津设计工程有限责任公司</w:t>
      </w:r>
    </w:p>
    <w:p>
      <w:pPr>
        <w:pStyle w:val="25"/>
        <w:tabs>
          <w:tab w:val="left" w:pos="720"/>
        </w:tabs>
        <w:spacing w:before="0" w:beforeAutospacing="0" w:after="0" w:afterAutospacing="0" w:line="360" w:lineRule="auto"/>
        <w:ind w:right="26"/>
        <w:jc w:val="both"/>
        <w:rPr>
          <w:rFonts w:hint="eastAsia" w:asciiTheme="minorEastAsia" w:hAnsiTheme="minorEastAsia" w:eastAsiaTheme="minorEastAsia" w:cstheme="minorEastAsia"/>
          <w:bCs/>
          <w:kern w:val="2"/>
          <w:sz w:val="24"/>
          <w:szCs w:val="24"/>
          <w:highlight w:val="none"/>
          <w:lang w:val="en-US" w:eastAsia="zh-CN" w:bidi="ar-SA"/>
        </w:rPr>
      </w:pPr>
      <w:r>
        <w:rPr>
          <w:rFonts w:hint="eastAsia" w:asciiTheme="minorEastAsia" w:hAnsiTheme="minorEastAsia" w:eastAsiaTheme="minorEastAsia" w:cstheme="minorEastAsia"/>
          <w:bCs/>
          <w:kern w:val="2"/>
          <w:sz w:val="24"/>
          <w:szCs w:val="24"/>
          <w:highlight w:val="none"/>
          <w:lang w:val="en-US" w:eastAsia="zh-CN" w:bidi="ar-SA"/>
        </w:rPr>
        <w:t>乙方：</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为贯彻落实《中华人民共和国劳动法》、《中华人民共和国安全生产法》、《中华人民共和国民法典》、《中华人民共和国环境保护法》、《中华人民共和国消防法》以及地方的法律法规的要求，达到</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质量、环境、职业健康安全管理体系建设的要求，确保</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提供产品和服务过程中减少对环境的污染、资源的浪费，确保作业人员的职业健康安全，明确双方在安全生产、环境保护、职业健康方面的责任、权利和义务，在平等、自愿协商一致的基础上，签订本协议。</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第一条、共同职责</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双方都必须认真贯彻执行国家、行业、地方等有关建设工程的安全生产、环境保护、职业健康等方面的法律、法规、条例、规范、标准及管理规定，共同做好本项目的安全生产、环境保护与职业健康管理工作。</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双方均应建立与本企业安全生产、环境保护与职业健康管理相适应的管理机构、配备相关管理人员、建立健全各项管理、教育培训和岗位责任制度等。</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双方都必须认真履行各自的安全生产、环境保护与职业健康管理职责，随时接受上级各部门、机构及</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的监督检查，认真执行上级的各项整改指令；双方都必须高度重视本项目的安全生产、环境保护与职业健康工作，督促各级责任管理人员强化安全文明生产意识，定期组织对项目进行安全文明生产及隐患排除治理，落实隐患整改，及时消除安全隐患。</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rPr>
        <w:t>双方共同确认，本合同涉及的安全生产、环境保护与职业健康管理责任适用国家、行业、地方等有关法律、法规和规范性文件的规定，并依据规定和本协议确认双方的安全生产、环境保护与职业健康管理责任。</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rPr>
        <w:t>双方共同签定本协议，其目的是强化各自的安全生产、环境保护与职业健康管理责任意识，相互协作、监督，明确职责，提高本项目的安全生产、环境保护与职业健康管理水平。</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第二条、</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的责任、权利和义务</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有责任告知</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需要遵守的有关</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的安全生产、环境保护与职业健康管理制度、规定和要求。</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有权要求</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提供与本项目有关的企业资质、生产许可证、营业执照、管理及技术服务人员的资格证书、执业证书等</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认为需要的证书，加盖</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单位公章的复印件。</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有监督检查</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安全生产、环境保护与职业健康管理制度的建立情况，有权拒绝不符合资格的人员进行施工作业或进入施工现场。</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有权进入</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场所检查安全生产、环境保护与职业健康管理工作，调阅有关资料，向有关单位和人员了解情况，并可要求</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负责人对相关事宜作出解释；有权对检查中发现的隐患，责令</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立即排除或者对</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下达限期整改意见。并有权按</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规定进行处罚。</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有权对</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在</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管理范围内的访问和交流等可能影响</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生产环境和安全的活动行为进行监督、管理。</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6.</w:t>
      </w:r>
      <w:r>
        <w:rPr>
          <w:rFonts w:hint="eastAsia" w:asciiTheme="minorEastAsia" w:hAnsiTheme="minorEastAsia" w:eastAsiaTheme="minorEastAsia" w:cstheme="minorEastAsia"/>
          <w:bCs/>
          <w:sz w:val="24"/>
          <w:szCs w:val="24"/>
          <w:highlight w:val="none"/>
        </w:rPr>
        <w:t>负责组织</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工作人员对本项目进行安装、调试、培训、检测、验收、质量保证、保修等服务。</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第三条、</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的责任、权利和义务</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有权自主开展安全生产、环境保护与职业健康管理工作，有责任和义务了解并遵守有关</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的安全生产、环境保护与职业健康管理制度、规定和要求。</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对工作范围内（含生产、储运、装卸）的生产、生活区域的安全生产、环境保护与职业健康管理工作负全责。必须按规范、规定的要求配备符合安全生产、环保保护与职业健康标准的各类生活、工作设施，并主动接受</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的监督和检查。</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获准进入施工现场工作人员必须按规定进行安全、防火、劳动保护等教育和交底。遵守</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工作场所的各项规定和要求。</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获准进入施工现场的施工及服务人员必须按规定佩带合格的劳动防护用具；严禁坦胸露背、穿凉鞋、拖鞋；不能与同行人员打闹；酒后不能进入作业场所；不准随意移动作业区内的各类设备及工具；特种作业人员必须持证上岗，严格执行操作规程，并确保在指定地点和时间作业。</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进入</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施工现场作业时，必须建立健全安全生产、环境保护与职业健康管理的各项规章制度，工作程序，明确管理责任，主要包括：</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使用机械设备可能产生噪声污染时，向周围生活环境排放施工噪声应符合国家规定的建筑施工厂界环境噪声排放标准，必要时应在开工15天前，按照项目可能产生的环境噪声值以及产生的环境噪声污染防范措施情况，向当地环保部门报批。</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保护施工现场周围的环境，防止对自然环境造成不应有的破坏。</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防止粉尘、噪声、振动等对周围生活居住区的污染和危害。</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rPr>
        <w:t>合理处理产生的固体废弃物。工程竣工后，应当修整恢复在建设过程中受到破坏的环境。</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rPr>
        <w:t>产生的生活垃圾集中分类放置指定场所，以减轻对环境的影响，并根据规定将废物合理处理。</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6）</w:t>
      </w:r>
      <w:r>
        <w:rPr>
          <w:rFonts w:hint="eastAsia" w:asciiTheme="minorEastAsia" w:hAnsiTheme="minorEastAsia" w:eastAsiaTheme="minorEastAsia" w:cstheme="minorEastAsia"/>
          <w:bCs/>
          <w:sz w:val="24"/>
          <w:szCs w:val="24"/>
          <w:highlight w:val="none"/>
        </w:rPr>
        <w:t>带有包装物的设备、材料起吊或拆包装后，由</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组织回收，为避免二次污染，回收物品处理时,按规定应交给有资质的回收废旧物资的部门。</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储运过程中，应遵守交通运输法规，保证运输车辆状况良好，车辆排放的废气、噪声及车辆冲洗废水要符合国家规定的排放标准，不得扰乱厂区附近居民的生活。</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8）</w:t>
      </w:r>
      <w:r>
        <w:rPr>
          <w:rFonts w:hint="eastAsia" w:asciiTheme="minorEastAsia" w:hAnsiTheme="minorEastAsia" w:eastAsiaTheme="minorEastAsia" w:cstheme="minorEastAsia"/>
          <w:bCs/>
          <w:sz w:val="24"/>
          <w:szCs w:val="24"/>
          <w:highlight w:val="none"/>
        </w:rPr>
        <w:t>所提供的产品及产品的原材料、生产过程、服务应满足国家、地方、行业的有关环境保护方面的法律、法规要求，在保证质量的前提下，确保安全与环境性能，并减少包装材料的使用。带有包装物的设备、材料起吊或拆包装后，由</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组织回收。</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9）</w:t>
      </w:r>
      <w:r>
        <w:rPr>
          <w:rFonts w:hint="eastAsia" w:asciiTheme="minorEastAsia" w:hAnsiTheme="minorEastAsia" w:eastAsiaTheme="minorEastAsia" w:cstheme="minorEastAsia"/>
          <w:bCs/>
          <w:sz w:val="24"/>
          <w:szCs w:val="24"/>
          <w:highlight w:val="none"/>
        </w:rPr>
        <w:t>运输危险化学品和易燃易爆品，要具备运输资质，采取一定的防护措施，避免运输途中产生泄漏，在搬运、装卸过程中注意轻拿轻放，避免野蛮装卸；车辆进入施工现场要减速慢行，车辆右行，并按</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规定的线路行驶，不能并行，不得高声鸣笛。</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10）</w:t>
      </w:r>
      <w:r>
        <w:rPr>
          <w:rFonts w:hint="eastAsia" w:asciiTheme="minorEastAsia" w:hAnsiTheme="minorEastAsia" w:eastAsiaTheme="minorEastAsia" w:cstheme="minorEastAsia"/>
          <w:bCs/>
          <w:sz w:val="24"/>
          <w:szCs w:val="24"/>
          <w:highlight w:val="none"/>
        </w:rPr>
        <w:t>经批准进入工作区域的人员应遵守</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的各项规定，注意观看各类警示标识，遵守警示标识的指令，不准在起吊物下通过或停留；施工区内临时用电、动火必须经</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批准。</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第四条、违约责任</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rPr>
        <w:t>双方在责任期内，应当履行约定的义务，尽职尽责地遵守国家、行业、地方等环境、职业健康与安全管理规范、标准、条例等，如</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发现</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有违反本协议及国家、行业、地方等安全生产、环境保护与职业健康管理规范、标准、规定、条例等约定的行为，</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有权进行处罚，双方约定的处罚金额为200-5000元/次。</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因</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违反本协议发生造成安全生产、环境保护与职业健康事故，给</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造成损失的，要求</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进行赔偿，并且支付违约金；造成严重后果的</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有权单方面解除协议，并要求</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进行赔偿，并且支付违约金。违约金按造成损失（包括直接、间接损失及相关管理部门的处罚）的2倍支付。</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第五条、其他</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1.</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应对</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提出的改进方案和建议积极响应，及时主动与</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沟通、协调，共同解决问题。</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2.</w:t>
      </w:r>
      <w:r>
        <w:rPr>
          <w:rFonts w:hint="eastAsia" w:asciiTheme="minorEastAsia" w:hAnsiTheme="minorEastAsia" w:eastAsiaTheme="minorEastAsia" w:cstheme="minorEastAsia"/>
          <w:bCs/>
          <w:sz w:val="24"/>
          <w:szCs w:val="24"/>
          <w:highlight w:val="none"/>
        </w:rPr>
        <w:t>若项目实施过程中发生事故，</w:t>
      </w:r>
      <w:r>
        <w:rPr>
          <w:rFonts w:hint="eastAsia" w:asciiTheme="minorEastAsia" w:hAnsiTheme="minorEastAsia" w:eastAsiaTheme="minorEastAsia" w:cstheme="minorEastAsia"/>
          <w:bCs/>
          <w:sz w:val="24"/>
          <w:szCs w:val="24"/>
          <w:highlight w:val="none"/>
          <w:lang w:eastAsia="zh-CN"/>
        </w:rPr>
        <w:t>乙方</w:t>
      </w:r>
      <w:r>
        <w:rPr>
          <w:rFonts w:hint="eastAsia" w:asciiTheme="minorEastAsia" w:hAnsiTheme="minorEastAsia" w:eastAsiaTheme="minorEastAsia" w:cstheme="minorEastAsia"/>
          <w:bCs/>
          <w:sz w:val="24"/>
          <w:szCs w:val="24"/>
          <w:highlight w:val="none"/>
        </w:rPr>
        <w:t>应按规定及时向</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和有关部门报告，建立应急管理制度、体系和处置预案。</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3.</w:t>
      </w:r>
      <w:r>
        <w:rPr>
          <w:rFonts w:hint="eastAsia" w:asciiTheme="minorEastAsia" w:hAnsiTheme="minorEastAsia" w:eastAsiaTheme="minorEastAsia" w:cstheme="minorEastAsia"/>
          <w:bCs/>
          <w:sz w:val="24"/>
          <w:szCs w:val="24"/>
          <w:highlight w:val="none"/>
        </w:rPr>
        <w:t>当协议双方发生争议时，双方应协商解决；协商不成或不愿协商，向</w:t>
      </w:r>
      <w:r>
        <w:rPr>
          <w:rFonts w:hint="eastAsia" w:asciiTheme="minorEastAsia" w:hAnsiTheme="minorEastAsia" w:eastAsiaTheme="minorEastAsia" w:cstheme="minorEastAsia"/>
          <w:bCs/>
          <w:sz w:val="24"/>
          <w:szCs w:val="24"/>
          <w:highlight w:val="none"/>
          <w:lang w:eastAsia="zh-CN"/>
        </w:rPr>
        <w:t>甲方</w:t>
      </w:r>
      <w:r>
        <w:rPr>
          <w:rFonts w:hint="eastAsia" w:asciiTheme="minorEastAsia" w:hAnsiTheme="minorEastAsia" w:eastAsiaTheme="minorEastAsia" w:cstheme="minorEastAsia"/>
          <w:bCs/>
          <w:sz w:val="24"/>
          <w:szCs w:val="24"/>
          <w:highlight w:val="none"/>
        </w:rPr>
        <w:t>住所地人民法院提起诉讼。</w:t>
      </w:r>
    </w:p>
    <w:p>
      <w:pPr>
        <w:spacing w:before="0" w:after="0"/>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rPr>
        <w:t>本协议生效时间、份数及持有情况同采购合同，有效期止于质量保证期结束。</w:t>
      </w:r>
    </w:p>
    <w:p>
      <w:pPr>
        <w:spacing w:line="360" w:lineRule="auto"/>
        <w:rPr>
          <w:rFonts w:hint="eastAsia" w:asciiTheme="minorEastAsia" w:hAnsiTheme="minorEastAsia" w:eastAsiaTheme="minorEastAsia" w:cstheme="minorEastAsia"/>
          <w:sz w:val="24"/>
          <w:szCs w:val="24"/>
          <w:highlight w:val="none"/>
        </w:rPr>
      </w:pPr>
    </w:p>
    <w:p>
      <w:pPr>
        <w:spacing w:before="0" w:after="0"/>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甲方：中煤天津设计工程         乙方：</w:t>
      </w:r>
    </w:p>
    <w:p>
      <w:pPr>
        <w:spacing w:before="0" w:after="0"/>
        <w:ind w:firstLine="720" w:firstLineChars="300"/>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 xml:space="preserve">有限责任公司（盖章）          </w:t>
      </w:r>
    </w:p>
    <w:p>
      <w:pPr>
        <w:spacing w:before="0" w:after="0"/>
        <w:jc w:val="both"/>
        <w:rPr>
          <w:rFonts w:hint="eastAsia" w:asciiTheme="minorEastAsia" w:hAnsiTheme="minorEastAsia" w:eastAsiaTheme="minorEastAsia" w:cstheme="minorEastAsia"/>
          <w:bCs/>
          <w:color w:val="000000"/>
          <w:sz w:val="24"/>
          <w:szCs w:val="24"/>
          <w:lang w:val="en-US" w:eastAsia="zh-CN"/>
        </w:rPr>
      </w:pPr>
    </w:p>
    <w:p>
      <w:pPr>
        <w:spacing w:line="600" w:lineRule="exact"/>
        <w:ind w:firstLine="4056" w:firstLineChars="2028"/>
        <w:jc w:val="center"/>
        <w:rPr>
          <w:rFonts w:hint="eastAsia" w:ascii="宋体" w:hAnsi="宋体"/>
          <w:szCs w:val="21"/>
        </w:rPr>
        <w:sectPr>
          <w:footerReference r:id="rId12" w:type="first"/>
          <w:headerReference r:id="rId10" w:type="default"/>
          <w:footerReference r:id="rId11" w:type="default"/>
          <w:pgSz w:w="11906" w:h="16838"/>
          <w:pgMar w:top="1361" w:right="1701" w:bottom="1361" w:left="1701" w:header="851" w:footer="992" w:gutter="0"/>
          <w:pgNumType w:fmt="decimal" w:start="1"/>
          <w:cols w:space="720" w:num="1"/>
          <w:titlePg/>
          <w:docGrid w:type="lines" w:linePitch="312" w:charSpace="0"/>
        </w:sectPr>
      </w:pPr>
    </w:p>
    <w:p>
      <w:pPr>
        <w:spacing w:line="600" w:lineRule="exact"/>
        <w:ind w:firstLine="4056" w:firstLineChars="2028"/>
        <w:jc w:val="center"/>
        <w:rPr>
          <w:rFonts w:ascii="Times New Roman" w:hAnsi="Times New Roman"/>
        </w:rPr>
      </w:pPr>
      <w:r>
        <w:rPr>
          <w:rFonts w:hint="eastAsia" w:ascii="宋体" w:hAnsi="宋体"/>
          <w:szCs w:val="21"/>
        </w:rPr>
        <w:t xml:space="preserve">  </w:t>
      </w:r>
      <w:bookmarkEnd w:id="107"/>
      <w:bookmarkEnd w:id="108"/>
      <w:bookmarkEnd w:id="109"/>
      <w:bookmarkEnd w:id="110"/>
      <w:bookmarkEnd w:id="111"/>
      <w:bookmarkEnd w:id="112"/>
      <w:bookmarkEnd w:id="113"/>
      <w:bookmarkEnd w:id="114"/>
      <w:bookmarkEnd w:id="115"/>
      <w:bookmarkEnd w:id="116"/>
      <w:bookmarkEnd w:id="117"/>
      <w:bookmarkEnd w:id="118"/>
      <w:bookmarkEnd w:id="119"/>
    </w:p>
    <w:p>
      <w:pPr>
        <w:rPr>
          <w:rFonts w:hint="eastAsia"/>
          <w:lang w:val="en-US" w:eastAsia="zh-CN"/>
        </w:rPr>
      </w:pPr>
    </w:p>
    <w:p>
      <w:pPr>
        <w:spacing w:line="360" w:lineRule="auto"/>
        <w:jc w:val="center"/>
        <w:rPr>
          <w:rFonts w:ascii="黑体" w:eastAsia="黑体"/>
          <w:b/>
          <w:color w:val="auto"/>
          <w:sz w:val="36"/>
          <w:szCs w:val="36"/>
          <w:highlight w:val="none"/>
        </w:rPr>
      </w:pPr>
      <w:r>
        <w:rPr>
          <w:rFonts w:ascii="宋体"/>
          <w:b/>
          <w:color w:val="auto"/>
          <w:kern w:val="2"/>
          <w:sz w:val="32"/>
          <w:szCs w:val="32"/>
          <w:highlight w:val="none"/>
        </w:rPr>
        <w:t xml:space="preserve">第四章 </w:t>
      </w:r>
      <w:r>
        <w:rPr>
          <w:rFonts w:hint="eastAsia" w:ascii="宋体"/>
          <w:b/>
          <w:color w:val="auto"/>
          <w:kern w:val="2"/>
          <w:sz w:val="32"/>
          <w:szCs w:val="32"/>
          <w:highlight w:val="none"/>
        </w:rPr>
        <w:t>技术规格书</w:t>
      </w:r>
      <w:bookmarkStart w:id="183" w:name="_Toc157586098"/>
      <w:bookmarkEnd w:id="183"/>
      <w:bookmarkStart w:id="184" w:name="_Toc31126408"/>
      <w:bookmarkStart w:id="185" w:name="_Toc410725852"/>
      <w:bookmarkStart w:id="186" w:name="_Toc32076"/>
      <w:bookmarkStart w:id="187" w:name="_Toc323936906"/>
      <w:bookmarkStart w:id="188" w:name="_Toc187428936"/>
      <w:bookmarkStart w:id="189" w:name="_Toc410728179"/>
    </w:p>
    <w:bookmarkEnd w:id="184"/>
    <w:bookmarkEnd w:id="185"/>
    <w:bookmarkEnd w:id="186"/>
    <w:bookmarkEnd w:id="187"/>
    <w:bookmarkEnd w:id="188"/>
    <w:bookmarkEnd w:id="189"/>
    <w:p>
      <w:pPr>
        <w:keepNext w:val="0"/>
        <w:keepLines w:val="0"/>
        <w:pageBreakBefore w:val="0"/>
        <w:widowControl w:val="0"/>
        <w:kinsoku/>
        <w:wordWrap/>
        <w:overflowPunct/>
        <w:topLinePunct w:val="0"/>
        <w:autoSpaceDE/>
        <w:autoSpaceDN/>
        <w:bidi w:val="0"/>
        <w:adjustRightInd/>
        <w:spacing w:line="360" w:lineRule="auto"/>
        <w:ind w:firstLine="0" w:firstLineChars="0"/>
        <w:jc w:val="center"/>
        <w:textAlignment w:val="auto"/>
        <w:rPr>
          <w:rFonts w:ascii="黑体" w:eastAsia="黑体"/>
          <w:b/>
          <w:sz w:val="36"/>
          <w:szCs w:val="36"/>
        </w:rPr>
      </w:pPr>
      <w:bookmarkStart w:id="190" w:name="LZOF_N出图章_T3_M4_R4_B10_D2"/>
      <w:bookmarkEnd w:id="190"/>
    </w:p>
    <w:p>
      <w:pPr>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rPr>
          <w:rFonts w:hint="eastAsia" w:ascii="黑体" w:eastAsia="黑体"/>
          <w:b/>
          <w:sz w:val="36"/>
          <w:szCs w:val="36"/>
          <w:lang w:val="en-US" w:eastAsia="zh-CN"/>
        </w:rPr>
      </w:pPr>
      <w:r>
        <w:rPr>
          <w:rFonts w:hint="eastAsia" w:ascii="黑体" w:eastAsia="黑体"/>
          <w:b/>
          <w:sz w:val="36"/>
          <w:szCs w:val="36"/>
          <w:lang w:val="en-US" w:eastAsia="zh-CN"/>
        </w:rPr>
        <w:t>中国中煤能源集团有限公司智能管控中心改造EPC项目</w:t>
      </w:r>
    </w:p>
    <w:p>
      <w:pPr>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rPr>
          <w:rFonts w:hint="default" w:ascii="黑体" w:eastAsia="黑体"/>
          <w:b/>
          <w:sz w:val="44"/>
          <w:szCs w:val="44"/>
          <w:lang w:val="en-US" w:eastAsia="zh-CN"/>
        </w:rPr>
      </w:pPr>
      <w:r>
        <w:rPr>
          <w:rFonts w:hint="eastAsia" w:ascii="黑体" w:eastAsia="黑体"/>
          <w:b/>
          <w:sz w:val="44"/>
          <w:szCs w:val="44"/>
          <w:lang w:val="en-US" w:eastAsia="zh-CN"/>
        </w:rPr>
        <w:t>控制机房</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0" w:firstLineChars="0"/>
        <w:jc w:val="center"/>
        <w:textAlignment w:val="auto"/>
        <w:rPr>
          <w:rFonts w:hint="eastAsia" w:hAnsi="宋体" w:eastAsia="黑体"/>
          <w:b/>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0" w:firstLineChars="0"/>
        <w:jc w:val="center"/>
        <w:textAlignment w:val="auto"/>
        <w:rPr>
          <w:rFonts w:hint="default" w:hAnsi="宋体" w:eastAsia="黑体"/>
          <w:b/>
          <w:sz w:val="72"/>
          <w:szCs w:val="72"/>
          <w:lang w:val="en-US" w:eastAsia="zh-CN"/>
        </w:rPr>
      </w:pPr>
      <w:r>
        <w:rPr>
          <w:rFonts w:hint="eastAsia" w:hAnsi="宋体" w:eastAsia="黑体"/>
          <w:b/>
          <w:sz w:val="72"/>
          <w:szCs w:val="72"/>
          <w:lang w:val="en-US" w:eastAsia="zh-CN"/>
        </w:rPr>
        <w:t>招标</w:t>
      </w:r>
      <w:r>
        <w:rPr>
          <w:rFonts w:hAnsi="宋体" w:eastAsia="黑体"/>
          <w:b/>
          <w:sz w:val="72"/>
          <w:szCs w:val="72"/>
        </w:rPr>
        <w:t>技术</w:t>
      </w:r>
      <w:r>
        <w:rPr>
          <w:rFonts w:hint="eastAsia" w:hAnsi="宋体" w:eastAsia="黑体"/>
          <w:b/>
          <w:sz w:val="72"/>
          <w:szCs w:val="72"/>
          <w:lang w:val="en-US" w:eastAsia="zh-CN"/>
        </w:rPr>
        <w:t>规范书</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ascii="黑体" w:hAnsi="黑体" w:eastAsia="黑体"/>
          <w:bCs/>
          <w:sz w:val="36"/>
          <w:szCs w:val="36"/>
        </w:rPr>
      </w:pP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ascii="黑体" w:hAnsi="黑体" w:eastAsia="黑体"/>
          <w:bCs/>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黑体" w:hAnsi="黑体" w:eastAsia="黑体"/>
          <w:sz w:val="36"/>
          <w:szCs w:val="36"/>
          <w:lang w:val="en-US" w:eastAsia="zh-CN"/>
        </w:rPr>
      </w:pPr>
      <w:r>
        <w:rPr>
          <w:rFonts w:hint="eastAsia" w:ascii="黑体" w:hAnsi="黑体" w:eastAsia="黑体"/>
          <w:bCs/>
          <w:sz w:val="36"/>
          <w:szCs w:val="36"/>
        </w:rPr>
        <w:t>设    计：</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黑体" w:hAnsi="黑体" w:eastAsia="黑体"/>
          <w:bCs/>
          <w:sz w:val="36"/>
          <w:szCs w:val="36"/>
          <w:lang w:val="en-US" w:eastAsia="zh-CN"/>
        </w:rPr>
      </w:pPr>
      <w:r>
        <w:rPr>
          <w:rFonts w:hint="eastAsia" w:ascii="黑体" w:hAnsi="黑体" w:eastAsia="黑体"/>
          <w:bCs/>
          <w:sz w:val="36"/>
          <w:szCs w:val="36"/>
        </w:rPr>
        <w:t>校    核：</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黑体" w:hAnsi="黑体" w:eastAsia="黑体"/>
          <w:bCs/>
          <w:sz w:val="36"/>
          <w:szCs w:val="36"/>
          <w:lang w:val="en-US" w:eastAsia="zh-CN"/>
        </w:rPr>
      </w:pPr>
      <w:r>
        <w:rPr>
          <w:rFonts w:hint="eastAsia" w:ascii="黑体" w:hAnsi="黑体" w:eastAsia="黑体"/>
          <w:bCs/>
          <w:sz w:val="36"/>
          <w:szCs w:val="36"/>
        </w:rPr>
        <w:t>审    核：</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黑体" w:hAnsi="黑体" w:eastAsia="黑体"/>
          <w:bCs/>
          <w:sz w:val="36"/>
          <w:szCs w:val="36"/>
          <w:lang w:val="en-US" w:eastAsia="zh-CN"/>
        </w:rPr>
      </w:pPr>
      <w:r>
        <w:rPr>
          <w:rFonts w:hint="eastAsia" w:ascii="黑体" w:hAnsi="黑体" w:eastAsia="黑体"/>
          <w:bCs/>
          <w:sz w:val="36"/>
          <w:szCs w:val="36"/>
        </w:rPr>
        <w:t>审    定：</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黑体" w:hAnsi="黑体" w:eastAsia="黑体"/>
          <w:color w:val="000000"/>
          <w:sz w:val="36"/>
          <w:szCs w:val="36"/>
          <w:lang w:val="en-US" w:eastAsia="zh-CN"/>
        </w:rPr>
      </w:pPr>
      <w:r>
        <w:rPr>
          <w:rFonts w:hint="eastAsia" w:ascii="黑体" w:hAnsi="黑体" w:eastAsia="黑体"/>
          <w:bCs/>
          <w:spacing w:val="-40"/>
          <w:sz w:val="36"/>
          <w:szCs w:val="36"/>
        </w:rPr>
        <mc:AlternateContent>
          <mc:Choice Requires="wps">
            <w:drawing>
              <wp:anchor distT="0" distB="0" distL="114300" distR="114300" simplePos="0" relativeHeight="251660288" behindDoc="0" locked="0" layoutInCell="0" allowOverlap="1">
                <wp:simplePos x="0" y="0"/>
                <wp:positionH relativeFrom="page">
                  <wp:posOffset>5908675</wp:posOffset>
                </wp:positionH>
                <wp:positionV relativeFrom="page">
                  <wp:posOffset>6990715</wp:posOffset>
                </wp:positionV>
                <wp:extent cx="914400" cy="30988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14400" cy="309880"/>
                        </a:xfrm>
                        <a:prstGeom prst="rect">
                          <a:avLst/>
                        </a:prstGeom>
                        <a:noFill/>
                        <a:ln>
                          <a:noFill/>
                        </a:ln>
                        <a:effectLst/>
                      </wps:spPr>
                      <wps:txbx>
                        <w:txbxContent>
                          <w:p>
                            <w:bookmarkStart w:id="562" w:name="LZOF_N项目负责人_T3_I1"/>
                            <w:bookmarkEnd w:id="562"/>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65.25pt;margin-top:550.45pt;height:24.4pt;width:72pt;mso-position-horizontal-relative:page;mso-position-vertical-relative:page;z-index:251660288;mso-width-relative:page;mso-height-relative:page;" filled="f" stroked="f" coordsize="21600,21600" o:allowincell="f" o:gfxdata="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DPf6dgAAAAOAQAADwAAAAAAAAABACAAAAAiAAAAZHJzL2Rvd25y&#10;ZXYueG1sUEsBAhQAFAAAAAgAh07iQIzLlpT+AQAA1AMAAA4AAAAAAAAAAQAgAAAAJwEAAGRycy9l&#10;Mm9Eb2MueG1sUEsFBgAAAAAGAAYAWQEAAJcFAAAAAA==&#10;">
                <v:fill on="f" focussize="0,0"/>
                <v:stroke on="f"/>
                <v:imagedata o:title=""/>
                <o:lock v:ext="edit" aspectratio="f"/>
                <v:textbox>
                  <w:txbxContent>
                    <w:p>
                      <w:bookmarkStart w:id="562" w:name="LZOF_N项目负责人_T3_I1"/>
                      <w:bookmarkEnd w:id="562"/>
                    </w:p>
                  </w:txbxContent>
                </v:textbox>
              </v:shape>
            </w:pict>
          </mc:Fallback>
        </mc:AlternateContent>
      </w:r>
      <w:r>
        <w:rPr>
          <w:rFonts w:hint="eastAsia" w:ascii="黑体" w:hAnsi="黑体" w:eastAsia="黑体"/>
          <w:bCs/>
          <w:spacing w:val="-40"/>
          <w:sz w:val="36"/>
          <w:szCs w:val="36"/>
        </w:rPr>
        <w:t>项目负责人</w:t>
      </w:r>
      <w:r>
        <w:rPr>
          <w:rFonts w:hint="eastAsia" w:ascii="黑体" w:hAnsi="黑体" w:eastAsia="黑体"/>
          <w:bCs/>
          <w:sz w:val="36"/>
          <w:szCs w:val="36"/>
        </w:rPr>
        <w:t>：</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ascii="黑体" w:hAnsi="黑体" w:eastAsia="黑体"/>
          <w:bCs/>
          <w:sz w:val="36"/>
          <w:szCs w:val="36"/>
        </w:rPr>
      </w:pP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ascii="黑体" w:hAnsi="黑体" w:eastAsia="黑体"/>
          <w:bCs/>
          <w:sz w:val="36"/>
          <w:szCs w:val="36"/>
        </w:rPr>
      </w:pP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ascii="黑体" w:hAnsi="黑体" w:eastAsia="黑体"/>
          <w:bCs/>
          <w:sz w:val="36"/>
          <w:szCs w:val="36"/>
        </w:rPr>
      </w:pPr>
      <w:r>
        <w:rPr>
          <w:rFonts w:ascii="黑体" w:hAnsi="黑体" w:eastAsia="黑体"/>
          <w:bCs/>
          <w:sz w:val="36"/>
          <w:szCs w:val="36"/>
        </w:rPr>
        <mc:AlternateContent>
          <mc:Choice Requires="wps">
            <w:drawing>
              <wp:anchor distT="0" distB="0" distL="114300" distR="114300" simplePos="0" relativeHeight="251659264" behindDoc="1" locked="0" layoutInCell="0" allowOverlap="1">
                <wp:simplePos x="0" y="0"/>
                <wp:positionH relativeFrom="page">
                  <wp:posOffset>2366645</wp:posOffset>
                </wp:positionH>
                <wp:positionV relativeFrom="page">
                  <wp:posOffset>8641080</wp:posOffset>
                </wp:positionV>
                <wp:extent cx="3029585" cy="120840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29585" cy="1208405"/>
                        </a:xfrm>
                        <a:prstGeom prst="rect">
                          <a:avLst/>
                        </a:prstGeom>
                        <a:noFill/>
                        <a:ln>
                          <a:noFill/>
                        </a:ln>
                        <a:effectLst/>
                      </wps:spPr>
                      <wps:txbx>
                        <w:txbxContent>
                          <w:p>
                            <w:bookmarkStart w:id="563" w:name="LZOF_N出图章_T3_M4_R2_B10_D2"/>
                            <w:bookmarkEnd w:id="563"/>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6.35pt;margin-top:680.4pt;height:95.15pt;width:238.55pt;mso-position-horizontal-relative:page;mso-position-vertical-relative:page;z-index:-251657216;mso-width-relative:page;mso-height-relative:page;" filled="f" stroked="f" coordsize="21600,21600" o:allowincell="f" o:gfxdata="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zr+doAAAANAQAADwAAAAAAAAABACAAAAAiAAAAZHJz&#10;L2Rvd25yZXYueG1sUEsBAhQAFAAAAAgAh07iQBD/2M4CAgAA1gMAAA4AAAAAAAAAAQAgAAAAKQEA&#10;AGRycy9lMm9Eb2MueG1sUEsFBgAAAAAGAAYAWQEAAJ0FAAAAAA==&#10;">
                <v:fill on="f" focussize="0,0"/>
                <v:stroke on="f"/>
                <v:imagedata o:title=""/>
                <o:lock v:ext="edit" aspectratio="f"/>
                <v:textbox>
                  <w:txbxContent>
                    <w:p>
                      <w:bookmarkStart w:id="563" w:name="LZOF_N出图章_T3_M4_R2_B10_D2"/>
                      <w:bookmarkEnd w:id="563"/>
                    </w:p>
                  </w:txbxContent>
                </v:textbox>
              </v:shape>
            </w:pict>
          </mc:Fallback>
        </mc:AlternateContent>
      </w:r>
    </w:p>
    <w:p>
      <w:pPr>
        <w:pStyle w:val="15"/>
        <w:keepNext w:val="0"/>
        <w:keepLines w:val="0"/>
        <w:pageBreakBefore w:val="0"/>
        <w:widowControl w:val="0"/>
        <w:kinsoku/>
        <w:wordWrap/>
        <w:overflowPunct/>
        <w:topLinePunct w:val="0"/>
        <w:autoSpaceDE/>
        <w:autoSpaceDN/>
        <w:bidi w:val="0"/>
        <w:adjustRightInd/>
        <w:ind w:left="0" w:leftChars="0" w:firstLine="0" w:firstLineChars="0"/>
        <w:jc w:val="center"/>
        <w:textAlignment w:val="auto"/>
        <w:rPr>
          <w:rFonts w:hint="default" w:ascii="Times New Roman" w:hAnsi="Times New Roman" w:eastAsia="黑体"/>
          <w:b/>
          <w:sz w:val="36"/>
          <w:szCs w:val="36"/>
          <w:lang w:val="en-US" w:eastAsia="zh-CN"/>
        </w:rPr>
      </w:pPr>
      <w:r>
        <w:rPr>
          <w:rFonts w:hint="eastAsia" w:ascii="Times New Roman" w:hAnsi="Times New Roman" w:eastAsia="黑体"/>
          <w:b/>
          <w:sz w:val="36"/>
          <w:szCs w:val="36"/>
        </w:rPr>
        <w:t>中煤</w:t>
      </w:r>
      <w:r>
        <w:rPr>
          <w:rFonts w:hint="eastAsia" w:ascii="Times New Roman" w:hAnsi="Times New Roman" w:eastAsia="黑体"/>
          <w:b/>
          <w:sz w:val="36"/>
          <w:szCs w:val="36"/>
          <w:lang w:val="en-US" w:eastAsia="zh-CN"/>
        </w:rPr>
        <w:t>天津设计工程有限责任公司</w:t>
      </w:r>
    </w:p>
    <w:p>
      <w:pPr>
        <w:pStyle w:val="15"/>
        <w:keepNext w:val="0"/>
        <w:keepLines w:val="0"/>
        <w:pageBreakBefore w:val="0"/>
        <w:widowControl w:val="0"/>
        <w:kinsoku/>
        <w:wordWrap/>
        <w:overflowPunct/>
        <w:topLinePunct w:val="0"/>
        <w:autoSpaceDE/>
        <w:autoSpaceDN/>
        <w:bidi w:val="0"/>
        <w:adjustRightInd/>
        <w:ind w:left="0" w:leftChars="0" w:firstLine="0" w:firstLineChars="0"/>
        <w:jc w:val="center"/>
        <w:textAlignment w:val="auto"/>
        <w:rPr>
          <w:rFonts w:ascii="Times New Roman" w:hAnsi="Times New Roman" w:eastAsia="黑体"/>
          <w:b/>
          <w:sz w:val="36"/>
          <w:szCs w:val="36"/>
        </w:rPr>
        <w:sectPr>
          <w:pgSz w:w="11906" w:h="16838"/>
          <w:pgMar w:top="1417" w:right="1304" w:bottom="1417" w:left="1531" w:header="851" w:footer="992" w:gutter="0"/>
          <w:pgBorders>
            <w:top w:val="none" w:sz="0" w:space="0"/>
            <w:left w:val="none" w:sz="0" w:space="0"/>
            <w:bottom w:val="none" w:sz="0" w:space="0"/>
            <w:right w:val="none" w:sz="0" w:space="0"/>
          </w:pgBorders>
          <w:cols w:space="720" w:num="1"/>
          <w:rtlGutter w:val="0"/>
          <w:docGrid w:type="lines" w:linePitch="312" w:charSpace="0"/>
        </w:sectPr>
      </w:pPr>
      <w:r>
        <w:rPr>
          <w:rFonts w:hint="eastAsia" w:ascii="Times New Roman" w:hAnsi="Times New Roman" w:eastAsia="黑体"/>
          <w:b/>
          <w:sz w:val="36"/>
          <w:szCs w:val="36"/>
          <w:lang w:val="en-US" w:eastAsia="zh-CN"/>
        </w:rPr>
        <w:t>2024</w:t>
      </w:r>
      <w:r>
        <w:rPr>
          <w:rFonts w:ascii="Times New Roman" w:hAnsi="Times New Roman" w:eastAsia="黑体"/>
          <w:b/>
          <w:sz w:val="36"/>
          <w:szCs w:val="36"/>
        </w:rPr>
        <w:t>年</w:t>
      </w:r>
      <w:r>
        <w:rPr>
          <w:rFonts w:hint="eastAsia" w:ascii="Times New Roman" w:hAnsi="Times New Roman" w:eastAsia="黑体"/>
          <w:b/>
          <w:sz w:val="36"/>
          <w:szCs w:val="36"/>
          <w:lang w:val="en-US" w:eastAsia="zh-CN"/>
        </w:rPr>
        <w:t>3</w:t>
      </w:r>
      <w:r>
        <w:rPr>
          <w:rFonts w:ascii="Times New Roman" w:hAnsi="Times New Roman" w:eastAsia="黑体"/>
          <w:b/>
          <w:sz w:val="36"/>
          <w:szCs w:val="36"/>
        </w:rPr>
        <w:t>月</w:t>
      </w:r>
    </w:p>
    <w:p>
      <w:pPr>
        <w:pageBreakBefore w:val="0"/>
        <w:widowControl w:val="0"/>
        <w:kinsoku/>
        <w:wordWrap/>
        <w:overflowPunct/>
        <w:topLinePunct w:val="0"/>
        <w:autoSpaceDE/>
        <w:autoSpaceDN/>
        <w:bidi w:val="0"/>
        <w:spacing w:before="120" w:beforeLines="50" w:after="120" w:afterLines="50" w:line="500" w:lineRule="exact"/>
        <w:outlineLvl w:val="0"/>
        <w:rPr>
          <w:rFonts w:hint="eastAsia" w:ascii="Times New Roman" w:hAnsi="Times New Roman" w:eastAsia="黑体" w:cs="Times New Roman"/>
          <w:b/>
          <w:sz w:val="28"/>
          <w:szCs w:val="28"/>
          <w:lang w:val="en-US" w:eastAsia="zh-CN"/>
        </w:rPr>
      </w:pPr>
      <w:bookmarkStart w:id="191" w:name="_Toc13158_WPSOffice_Level1"/>
      <w:bookmarkStart w:id="192" w:name="_Toc27978_WPSOffice_Level1"/>
      <w:bookmarkStart w:id="193" w:name="_Toc12179"/>
      <w:r>
        <w:rPr>
          <w:rFonts w:hint="eastAsia" w:ascii="Times New Roman" w:hAnsi="Times New Roman" w:eastAsia="黑体" w:cs="Times New Roman"/>
          <w:b/>
          <w:sz w:val="28"/>
          <w:szCs w:val="28"/>
          <w:lang w:val="en-US" w:eastAsia="zh-CN"/>
        </w:rPr>
        <w:t>一、总则</w:t>
      </w:r>
      <w:bookmarkEnd w:id="191"/>
      <w:bookmarkEnd w:id="192"/>
      <w:bookmarkEnd w:id="193"/>
    </w:p>
    <w:p>
      <w:pPr>
        <w:pageBreakBefore w:val="0"/>
        <w:widowControl w:val="0"/>
        <w:kinsoku/>
        <w:wordWrap/>
        <w:overflowPunct/>
        <w:topLinePunct w:val="0"/>
        <w:autoSpaceDE/>
        <w:autoSpaceDN/>
        <w:bidi w:val="0"/>
        <w:adjustRightInd/>
        <w:snapToGrid/>
        <w:spacing w:line="500" w:lineRule="exact"/>
        <w:ind w:firstLine="464" w:firstLineChars="200"/>
        <w:textAlignment w:val="auto"/>
        <w:rPr>
          <w:rFonts w:hint="eastAsia"/>
          <w:bCs/>
          <w:color w:val="000000"/>
          <w:spacing w:val="-4"/>
          <w:sz w:val="24"/>
          <w:szCs w:val="24"/>
        </w:rPr>
      </w:pPr>
      <w:bookmarkStart w:id="194" w:name="_Toc1764_WPSOffice_Level1"/>
      <w:bookmarkStart w:id="195" w:name="_Toc24128_WPSOffice_Level1"/>
      <w:r>
        <w:rPr>
          <w:rFonts w:hint="eastAsia"/>
          <w:bCs/>
          <w:color w:val="000000"/>
          <w:spacing w:val="-4"/>
          <w:sz w:val="24"/>
          <w:szCs w:val="24"/>
          <w:lang w:val="en-US" w:eastAsia="zh-CN"/>
        </w:rPr>
        <w:t>1、</w:t>
      </w:r>
      <w:r>
        <w:rPr>
          <w:rFonts w:hint="eastAsia"/>
          <w:bCs/>
          <w:color w:val="000000"/>
          <w:spacing w:val="-4"/>
          <w:sz w:val="24"/>
          <w:szCs w:val="24"/>
        </w:rPr>
        <w:t>本</w:t>
      </w:r>
      <w:r>
        <w:rPr>
          <w:rFonts w:hint="eastAsia"/>
          <w:bCs/>
          <w:color w:val="000000"/>
          <w:spacing w:val="-4"/>
          <w:sz w:val="24"/>
          <w:szCs w:val="24"/>
          <w:lang w:eastAsia="zh-CN"/>
        </w:rPr>
        <w:t>技术规范书</w:t>
      </w:r>
      <w:r>
        <w:rPr>
          <w:rFonts w:hint="eastAsia"/>
          <w:bCs/>
          <w:color w:val="000000"/>
          <w:spacing w:val="-4"/>
          <w:sz w:val="24"/>
          <w:szCs w:val="24"/>
        </w:rPr>
        <w:t>适用于</w:t>
      </w:r>
      <w:r>
        <w:rPr>
          <w:rFonts w:hint="eastAsia" w:eastAsia="黑体"/>
          <w:b/>
          <w:color w:val="000000"/>
          <w:sz w:val="24"/>
          <w:szCs w:val="24"/>
          <w:lang w:val="en-US" w:eastAsia="zh-CN"/>
        </w:rPr>
        <w:t>中国中煤能源集团有限公司智能管控中心改造EPC项目控制机房所涉及到的设备、软件、安装、调试、材料以安装、调试等服务的招标</w:t>
      </w:r>
      <w:r>
        <w:rPr>
          <w:rFonts w:hint="eastAsia"/>
          <w:b/>
          <w:bCs/>
          <w:color w:val="000000"/>
          <w:spacing w:val="-4"/>
          <w:sz w:val="24"/>
          <w:szCs w:val="24"/>
        </w:rPr>
        <w:t>。</w:t>
      </w:r>
      <w:r>
        <w:rPr>
          <w:rFonts w:hint="eastAsia"/>
          <w:bCs/>
          <w:color w:val="000000"/>
          <w:spacing w:val="-4"/>
          <w:sz w:val="24"/>
          <w:szCs w:val="24"/>
        </w:rPr>
        <w:t>本</w:t>
      </w:r>
      <w:r>
        <w:rPr>
          <w:rFonts w:hint="eastAsia"/>
          <w:bCs/>
          <w:color w:val="000000"/>
          <w:spacing w:val="-4"/>
          <w:sz w:val="24"/>
          <w:szCs w:val="24"/>
          <w:lang w:eastAsia="zh-CN"/>
        </w:rPr>
        <w:t>技术规范书</w:t>
      </w:r>
      <w:r>
        <w:rPr>
          <w:rFonts w:hint="eastAsia"/>
          <w:bCs/>
          <w:color w:val="000000"/>
          <w:spacing w:val="-4"/>
          <w:sz w:val="24"/>
          <w:szCs w:val="24"/>
        </w:rPr>
        <w:t>提出了对</w:t>
      </w:r>
      <w:r>
        <w:rPr>
          <w:rFonts w:hint="eastAsia" w:ascii="Times New Roman" w:hAnsi="Times New Roman" w:eastAsia="宋体" w:cs="Times New Roman"/>
          <w:bCs/>
          <w:color w:val="000000"/>
          <w:spacing w:val="-4"/>
          <w:sz w:val="24"/>
          <w:szCs w:val="24"/>
          <w:lang w:val="en-US" w:eastAsia="zh-CN"/>
        </w:rPr>
        <w:t>控制机房</w:t>
      </w:r>
      <w:r>
        <w:rPr>
          <w:rFonts w:hint="default" w:ascii="Times New Roman" w:hAnsi="Times New Roman" w:eastAsia="宋体" w:cs="Times New Roman"/>
          <w:bCs/>
          <w:color w:val="000000"/>
          <w:spacing w:val="-4"/>
          <w:sz w:val="24"/>
          <w:szCs w:val="24"/>
          <w:lang w:val="en-US" w:eastAsia="zh-CN"/>
        </w:rPr>
        <w:t>功能设计、结构、性能、试验、调试等方面的技术要求。</w:t>
      </w:r>
    </w:p>
    <w:p>
      <w:pPr>
        <w:pageBreakBefore w:val="0"/>
        <w:widowControl w:val="0"/>
        <w:kinsoku/>
        <w:wordWrap/>
        <w:overflowPunct/>
        <w:topLinePunct w:val="0"/>
        <w:autoSpaceDE/>
        <w:autoSpaceDN/>
        <w:bidi w:val="0"/>
        <w:spacing w:line="500" w:lineRule="exact"/>
        <w:ind w:firstLine="464" w:firstLineChars="200"/>
        <w:rPr>
          <w:sz w:val="24"/>
          <w:szCs w:val="24"/>
        </w:rPr>
      </w:pPr>
      <w:r>
        <w:rPr>
          <w:rFonts w:hint="eastAsia"/>
          <w:bCs/>
          <w:spacing w:val="-4"/>
          <w:sz w:val="24"/>
          <w:szCs w:val="24"/>
          <w:lang w:val="en-US" w:eastAsia="zh-CN"/>
        </w:rPr>
        <w:t>2、</w:t>
      </w:r>
      <w:r>
        <w:rPr>
          <w:rFonts w:hint="eastAsia"/>
          <w:sz w:val="24"/>
          <w:szCs w:val="24"/>
        </w:rPr>
        <w:t>投标方必须保证系统的先进性、可靠性、兼容性、安全性、完整性和易操作性。</w:t>
      </w:r>
    </w:p>
    <w:p>
      <w:pPr>
        <w:pageBreakBefore w:val="0"/>
        <w:widowControl w:val="0"/>
        <w:kinsoku/>
        <w:wordWrap/>
        <w:overflowPunct/>
        <w:topLinePunct w:val="0"/>
        <w:autoSpaceDE/>
        <w:autoSpaceDN/>
        <w:bidi w:val="0"/>
        <w:spacing w:line="500" w:lineRule="exact"/>
        <w:ind w:firstLine="464" w:firstLineChars="200"/>
        <w:rPr>
          <w:rFonts w:hint="eastAsia"/>
          <w:sz w:val="24"/>
          <w:szCs w:val="24"/>
        </w:rPr>
      </w:pPr>
      <w:r>
        <w:rPr>
          <w:rFonts w:hint="eastAsia"/>
          <w:bCs/>
          <w:spacing w:val="-4"/>
          <w:sz w:val="24"/>
          <w:szCs w:val="24"/>
          <w:lang w:val="en-US" w:eastAsia="zh-CN"/>
        </w:rPr>
        <w:t>3、</w:t>
      </w:r>
      <w:r>
        <w:rPr>
          <w:rFonts w:hint="eastAsia"/>
          <w:bCs/>
          <w:spacing w:val="-4"/>
          <w:sz w:val="24"/>
          <w:szCs w:val="24"/>
        </w:rPr>
        <w:t>本</w:t>
      </w:r>
      <w:r>
        <w:rPr>
          <w:rFonts w:hint="eastAsia"/>
          <w:bCs/>
          <w:spacing w:val="-4"/>
          <w:sz w:val="24"/>
          <w:szCs w:val="24"/>
          <w:lang w:eastAsia="zh-CN"/>
        </w:rPr>
        <w:t>技术规范书</w:t>
      </w:r>
      <w:r>
        <w:rPr>
          <w:rFonts w:hint="eastAsia"/>
          <w:sz w:val="24"/>
          <w:szCs w:val="24"/>
        </w:rPr>
        <w:t>提出的是最低限度的技术要求，并未对一切技术细节做出规定，也未充分引述有关标准和规范的条文，投标方应保证提供符合本功能需求书和工业标准的功能齐全的优质产品及其相应服务。对国家有关安全等强制性标准，必须满足其要求。</w:t>
      </w:r>
    </w:p>
    <w:p>
      <w:pPr>
        <w:pageBreakBefore w:val="0"/>
        <w:widowControl w:val="0"/>
        <w:kinsoku/>
        <w:wordWrap/>
        <w:overflowPunct/>
        <w:topLinePunct w:val="0"/>
        <w:autoSpaceDE/>
        <w:autoSpaceDN/>
        <w:bidi w:val="0"/>
        <w:spacing w:line="500" w:lineRule="exact"/>
        <w:ind w:firstLine="464" w:firstLineChars="200"/>
        <w:rPr>
          <w:sz w:val="24"/>
          <w:szCs w:val="24"/>
        </w:rPr>
      </w:pPr>
      <w:r>
        <w:rPr>
          <w:rFonts w:hint="eastAsia"/>
          <w:bCs/>
          <w:spacing w:val="-4"/>
          <w:sz w:val="24"/>
          <w:szCs w:val="24"/>
          <w:lang w:val="en-US" w:eastAsia="zh-CN"/>
        </w:rPr>
        <w:t>4、</w:t>
      </w:r>
      <w:r>
        <w:rPr>
          <w:rFonts w:hint="default" w:ascii="Times New Roman" w:hAnsi="Times New Roman" w:eastAsia="宋体" w:cs="Times New Roman"/>
          <w:color w:val="000000"/>
          <w:sz w:val="24"/>
          <w:highlight w:val="none"/>
          <w:lang w:val="en-US" w:eastAsia="zh-CN"/>
        </w:rPr>
        <w:t>产品应满足国家有关安全、环保等强制性标准。</w:t>
      </w:r>
    </w:p>
    <w:p>
      <w:pPr>
        <w:pageBreakBefore w:val="0"/>
        <w:widowControl w:val="0"/>
        <w:kinsoku/>
        <w:wordWrap/>
        <w:overflowPunct/>
        <w:topLinePunct w:val="0"/>
        <w:autoSpaceDE/>
        <w:autoSpaceDN/>
        <w:bidi w:val="0"/>
        <w:spacing w:line="500" w:lineRule="exact"/>
        <w:ind w:firstLine="464" w:firstLineChars="200"/>
        <w:rPr>
          <w:rFonts w:hint="eastAsia"/>
          <w:sz w:val="24"/>
          <w:szCs w:val="24"/>
        </w:rPr>
      </w:pPr>
      <w:r>
        <w:rPr>
          <w:rFonts w:hint="eastAsia"/>
          <w:bCs/>
          <w:spacing w:val="-4"/>
          <w:sz w:val="24"/>
          <w:szCs w:val="24"/>
          <w:lang w:val="en-US" w:eastAsia="zh-CN"/>
        </w:rPr>
        <w:t>5、</w:t>
      </w:r>
      <w:r>
        <w:rPr>
          <w:rFonts w:hint="eastAsia"/>
          <w:sz w:val="24"/>
          <w:szCs w:val="24"/>
        </w:rPr>
        <w:t>投标方必须仔细阅读本</w:t>
      </w:r>
      <w:r>
        <w:rPr>
          <w:rFonts w:hint="eastAsia"/>
          <w:sz w:val="24"/>
          <w:szCs w:val="24"/>
          <w:lang w:eastAsia="zh-CN"/>
        </w:rPr>
        <w:t>技术规范书</w:t>
      </w:r>
      <w:r>
        <w:rPr>
          <w:rFonts w:hint="eastAsia"/>
          <w:sz w:val="24"/>
          <w:szCs w:val="24"/>
        </w:rPr>
        <w:t>的全部内容，保证所提供的整套系统设备及系统运行所需的软硬件接口，满足</w:t>
      </w:r>
      <w:r>
        <w:rPr>
          <w:rFonts w:hint="eastAsia"/>
          <w:sz w:val="24"/>
          <w:szCs w:val="24"/>
          <w:lang w:eastAsia="zh-CN"/>
        </w:rPr>
        <w:t>技术规范书</w:t>
      </w:r>
      <w:r>
        <w:rPr>
          <w:rFonts w:hint="eastAsia"/>
          <w:sz w:val="24"/>
          <w:szCs w:val="24"/>
        </w:rPr>
        <w:t>的要求。</w:t>
      </w:r>
    </w:p>
    <w:p>
      <w:pPr>
        <w:pageBreakBefore w:val="0"/>
        <w:widowControl w:val="0"/>
        <w:kinsoku/>
        <w:wordWrap/>
        <w:overflowPunct/>
        <w:topLinePunct w:val="0"/>
        <w:autoSpaceDE/>
        <w:autoSpaceDN/>
        <w:bidi w:val="0"/>
        <w:spacing w:line="500" w:lineRule="exact"/>
        <w:ind w:firstLine="464" w:firstLineChars="200"/>
        <w:rPr>
          <w:rFonts w:hint="eastAsia"/>
          <w:sz w:val="24"/>
          <w:szCs w:val="24"/>
        </w:rPr>
      </w:pPr>
      <w:r>
        <w:rPr>
          <w:rFonts w:hint="eastAsia"/>
          <w:bCs/>
          <w:spacing w:val="-4"/>
          <w:sz w:val="24"/>
          <w:szCs w:val="24"/>
          <w:lang w:val="en-US" w:eastAsia="zh-CN"/>
        </w:rPr>
        <w:t>6、</w:t>
      </w:r>
      <w:r>
        <w:rPr>
          <w:rFonts w:hint="eastAsia"/>
          <w:sz w:val="24"/>
          <w:szCs w:val="24"/>
        </w:rPr>
        <w:t>投标方应遵守本</w:t>
      </w:r>
      <w:r>
        <w:rPr>
          <w:rFonts w:hint="eastAsia"/>
          <w:sz w:val="24"/>
          <w:szCs w:val="24"/>
          <w:lang w:eastAsia="zh-CN"/>
        </w:rPr>
        <w:t>技术规范书</w:t>
      </w:r>
      <w:r>
        <w:rPr>
          <w:rFonts w:hint="eastAsia"/>
          <w:sz w:val="24"/>
          <w:szCs w:val="24"/>
        </w:rPr>
        <w:t>所列标准的要求，本</w:t>
      </w:r>
      <w:r>
        <w:rPr>
          <w:rFonts w:hint="eastAsia"/>
          <w:sz w:val="24"/>
          <w:szCs w:val="24"/>
          <w:lang w:eastAsia="zh-CN"/>
        </w:rPr>
        <w:t>技术规范书</w:t>
      </w:r>
      <w:r>
        <w:rPr>
          <w:rFonts w:hint="eastAsia"/>
          <w:sz w:val="24"/>
          <w:szCs w:val="24"/>
        </w:rPr>
        <w:t>所使用的标准如与投标方所执行的标准有偏差时，按高标准执行。</w:t>
      </w:r>
    </w:p>
    <w:p>
      <w:pPr>
        <w:pageBreakBefore w:val="0"/>
        <w:widowControl w:val="0"/>
        <w:kinsoku/>
        <w:wordWrap/>
        <w:overflowPunct/>
        <w:topLinePunct w:val="0"/>
        <w:autoSpaceDE/>
        <w:autoSpaceDN/>
        <w:bidi w:val="0"/>
        <w:spacing w:line="500" w:lineRule="exact"/>
        <w:ind w:firstLine="464" w:firstLineChars="200"/>
        <w:rPr>
          <w:rFonts w:hint="eastAsia" w:ascii="Times New Roman" w:hAnsi="Times New Roman" w:eastAsia="宋体" w:cs="Times New Roman"/>
          <w:color w:val="000000"/>
          <w:sz w:val="24"/>
          <w:highlight w:val="none"/>
          <w:lang w:val="en-US" w:eastAsia="zh-CN"/>
        </w:rPr>
      </w:pPr>
      <w:r>
        <w:rPr>
          <w:rFonts w:hint="eastAsia"/>
          <w:bCs/>
          <w:spacing w:val="-4"/>
          <w:sz w:val="24"/>
          <w:szCs w:val="24"/>
          <w:lang w:val="en-US" w:eastAsia="zh-CN"/>
        </w:rPr>
        <w:t>7、</w:t>
      </w:r>
      <w:r>
        <w:rPr>
          <w:rFonts w:hint="eastAsia" w:ascii="Times New Roman" w:hAnsi="Times New Roman" w:eastAsia="宋体" w:cs="Times New Roman"/>
          <w:color w:val="000000"/>
          <w:sz w:val="24"/>
          <w:highlight w:val="none"/>
          <w:lang w:val="en-US" w:eastAsia="zh-CN"/>
        </w:rPr>
        <w:t>投标方所提供的设备应保证是最新工艺制造、最新生产的设备，并应对涉及专利、知识产权等法律条款承担义务，招标方对此不承担任何责任。</w:t>
      </w:r>
    </w:p>
    <w:p>
      <w:pPr>
        <w:pageBreakBefore w:val="0"/>
        <w:widowControl w:val="0"/>
        <w:kinsoku/>
        <w:wordWrap/>
        <w:overflowPunct/>
        <w:topLinePunct w:val="0"/>
        <w:autoSpaceDE/>
        <w:autoSpaceDN/>
        <w:bidi w:val="0"/>
        <w:spacing w:line="500" w:lineRule="exact"/>
        <w:ind w:firstLine="464" w:firstLineChars="200"/>
        <w:rPr>
          <w:rFonts w:hint="default" w:ascii="Times New Roman" w:hAnsi="Times New Roman" w:eastAsia="宋体" w:cs="Times New Roman"/>
          <w:color w:val="000000"/>
          <w:sz w:val="24"/>
          <w:highlight w:val="none"/>
          <w:lang w:val="en-US" w:eastAsia="zh-CN"/>
        </w:rPr>
      </w:pPr>
      <w:r>
        <w:rPr>
          <w:rFonts w:hint="eastAsia"/>
          <w:bCs/>
          <w:spacing w:val="-4"/>
          <w:sz w:val="24"/>
          <w:szCs w:val="24"/>
          <w:lang w:val="en-US" w:eastAsia="zh-CN"/>
        </w:rPr>
        <w:t>8、</w:t>
      </w:r>
      <w:r>
        <w:rPr>
          <w:rFonts w:hint="default" w:ascii="Times New Roman" w:hAnsi="Times New Roman" w:eastAsia="宋体" w:cs="Times New Roman"/>
          <w:color w:val="000000"/>
          <w:sz w:val="24"/>
          <w:highlight w:val="none"/>
          <w:lang w:val="en-US" w:eastAsia="zh-CN"/>
        </w:rPr>
        <w:t>第三方产品的技术、性能参数应由产品生产厂商直接提供和确认，并由投标方对系统整体性能负责。</w:t>
      </w:r>
    </w:p>
    <w:p>
      <w:pPr>
        <w:pageBreakBefore w:val="0"/>
        <w:widowControl w:val="0"/>
        <w:kinsoku/>
        <w:wordWrap/>
        <w:overflowPunct/>
        <w:topLinePunct w:val="0"/>
        <w:autoSpaceDE/>
        <w:autoSpaceDN/>
        <w:bidi w:val="0"/>
        <w:adjustRightInd/>
        <w:snapToGrid/>
        <w:spacing w:line="500" w:lineRule="exact"/>
        <w:ind w:firstLine="464" w:firstLineChars="200"/>
        <w:textAlignment w:val="auto"/>
        <w:rPr>
          <w:rFonts w:hint="default" w:ascii="Times New Roman" w:hAnsi="Times New Roman" w:eastAsia="宋体" w:cs="Times New Roman"/>
          <w:color w:val="000000"/>
          <w:sz w:val="24"/>
          <w:highlight w:val="none"/>
          <w:lang w:val="en-US" w:eastAsia="zh-CN"/>
        </w:rPr>
      </w:pPr>
      <w:r>
        <w:rPr>
          <w:rFonts w:hint="eastAsia"/>
          <w:bCs/>
          <w:spacing w:val="-4"/>
          <w:sz w:val="24"/>
          <w:szCs w:val="24"/>
          <w:lang w:val="en-US" w:eastAsia="zh-CN"/>
        </w:rPr>
        <w:t>9、</w:t>
      </w:r>
      <w:r>
        <w:rPr>
          <w:rFonts w:hint="default" w:ascii="Times New Roman" w:hAnsi="Times New Roman" w:eastAsia="宋体" w:cs="Times New Roman"/>
          <w:color w:val="000000"/>
          <w:sz w:val="24"/>
          <w:highlight w:val="none"/>
          <w:lang w:val="en-US" w:eastAsia="zh-CN"/>
        </w:rPr>
        <w:t>本技术规范书仅对本项目所有设备、软件、材料等的组成和性能提出基本要求，投标方应提供满足国家及行业标准的设备、软件、材料等。</w:t>
      </w:r>
    </w:p>
    <w:p>
      <w:pPr>
        <w:pageBreakBefore w:val="0"/>
        <w:widowControl w:val="0"/>
        <w:kinsoku/>
        <w:wordWrap/>
        <w:overflowPunct/>
        <w:topLinePunct w:val="0"/>
        <w:autoSpaceDE/>
        <w:autoSpaceDN/>
        <w:bidi w:val="0"/>
        <w:spacing w:line="500" w:lineRule="exact"/>
        <w:ind w:firstLine="464" w:firstLineChars="200"/>
        <w:rPr>
          <w:rFonts w:hint="eastAsia" w:ascii="Times New Roman" w:hAnsi="Times New Roman" w:eastAsia="宋体" w:cs="Times New Roman"/>
          <w:color w:val="000000"/>
          <w:sz w:val="24"/>
          <w:highlight w:val="none"/>
          <w:lang w:val="en-US" w:eastAsia="zh-CN"/>
        </w:rPr>
      </w:pPr>
      <w:r>
        <w:rPr>
          <w:rFonts w:hint="eastAsia"/>
          <w:bCs/>
          <w:spacing w:val="-4"/>
          <w:sz w:val="24"/>
          <w:szCs w:val="24"/>
          <w:lang w:val="en-US" w:eastAsia="zh-CN"/>
        </w:rPr>
        <w:t>10、</w:t>
      </w:r>
      <w:r>
        <w:rPr>
          <w:rFonts w:hint="eastAsia" w:ascii="Times New Roman" w:hAnsi="Times New Roman" w:eastAsia="宋体" w:cs="Times New Roman"/>
          <w:color w:val="000000"/>
          <w:sz w:val="24"/>
          <w:highlight w:val="none"/>
          <w:lang w:val="en-US" w:eastAsia="zh-CN"/>
        </w:rPr>
        <w:t>本项目为系统集成项目，投标方需对最终形成的系统整体性能、测试数据负责，必须满足本技术规范书以及国家、行业的相关要求及标准。</w:t>
      </w:r>
    </w:p>
    <w:p>
      <w:pPr>
        <w:pageBreakBefore w:val="0"/>
        <w:widowControl w:val="0"/>
        <w:kinsoku/>
        <w:wordWrap/>
        <w:overflowPunct/>
        <w:topLinePunct w:val="0"/>
        <w:autoSpaceDE/>
        <w:autoSpaceDN/>
        <w:bidi w:val="0"/>
        <w:spacing w:line="500" w:lineRule="exact"/>
        <w:ind w:firstLine="464" w:firstLineChars="200"/>
        <w:rPr>
          <w:rFonts w:hint="eastAsia"/>
          <w:sz w:val="24"/>
          <w:szCs w:val="24"/>
        </w:rPr>
      </w:pPr>
      <w:r>
        <w:rPr>
          <w:rFonts w:hint="eastAsia"/>
          <w:bCs/>
          <w:spacing w:val="-4"/>
          <w:sz w:val="24"/>
          <w:szCs w:val="24"/>
          <w:lang w:val="en-US" w:eastAsia="zh-CN"/>
        </w:rPr>
        <w:t>11、</w:t>
      </w:r>
      <w:r>
        <w:rPr>
          <w:rFonts w:hint="eastAsia"/>
          <w:sz w:val="24"/>
          <w:szCs w:val="24"/>
        </w:rPr>
        <w:t>在实际采购时，如果所列出的系统配置软硬件有任何遗漏（包括合同中未列出而系统开通又需要的软硬件），则安装调试时投标方应免费提供，招标方将不再支付任何费用。</w:t>
      </w:r>
    </w:p>
    <w:p>
      <w:pPr>
        <w:pageBreakBefore w:val="0"/>
        <w:widowControl w:val="0"/>
        <w:kinsoku/>
        <w:wordWrap/>
        <w:overflowPunct/>
        <w:topLinePunct w:val="0"/>
        <w:autoSpaceDE/>
        <w:autoSpaceDN/>
        <w:bidi w:val="0"/>
        <w:spacing w:line="500" w:lineRule="exact"/>
        <w:ind w:firstLine="464" w:firstLineChars="200"/>
        <w:rPr>
          <w:rFonts w:hint="default" w:ascii="Times New Roman" w:hAnsi="Times New Roman" w:eastAsia="宋体"/>
          <w:color w:val="000000"/>
          <w:sz w:val="24"/>
          <w:szCs w:val="22"/>
          <w:highlight w:val="none"/>
        </w:rPr>
      </w:pPr>
      <w:r>
        <w:rPr>
          <w:rFonts w:hint="eastAsia"/>
          <w:bCs/>
          <w:spacing w:val="-4"/>
          <w:sz w:val="24"/>
          <w:szCs w:val="24"/>
          <w:lang w:val="en-US" w:eastAsia="zh-CN"/>
        </w:rPr>
        <w:t>12、</w:t>
      </w:r>
      <w:r>
        <w:rPr>
          <w:rFonts w:hint="default" w:ascii="Times New Roman" w:hAnsi="Times New Roman" w:eastAsia="宋体"/>
          <w:color w:val="000000"/>
          <w:sz w:val="24"/>
          <w:szCs w:val="22"/>
          <w:highlight w:val="none"/>
        </w:rPr>
        <w:t>在签订合同之后，招标方有权提出因规范标准和规程发生变化而产生的一些补充要求。</w:t>
      </w:r>
    </w:p>
    <w:p>
      <w:pPr>
        <w:pageBreakBefore w:val="0"/>
        <w:widowControl w:val="0"/>
        <w:kinsoku/>
        <w:wordWrap/>
        <w:overflowPunct/>
        <w:topLinePunct w:val="0"/>
        <w:autoSpaceDE/>
        <w:autoSpaceDN/>
        <w:bidi w:val="0"/>
        <w:spacing w:line="500" w:lineRule="exact"/>
        <w:ind w:firstLine="464" w:firstLineChars="200"/>
        <w:rPr>
          <w:rFonts w:hint="default" w:ascii="Times New Roman" w:hAnsi="Times New Roman" w:eastAsia="宋体"/>
          <w:color w:val="000000"/>
          <w:sz w:val="24"/>
          <w:szCs w:val="22"/>
          <w:highlight w:val="none"/>
        </w:rPr>
      </w:pPr>
      <w:r>
        <w:rPr>
          <w:rFonts w:hint="eastAsia"/>
          <w:bCs/>
          <w:spacing w:val="-4"/>
          <w:sz w:val="24"/>
          <w:szCs w:val="24"/>
          <w:lang w:val="en-US" w:eastAsia="zh-CN"/>
        </w:rPr>
        <w:t>13、</w:t>
      </w:r>
      <w:r>
        <w:rPr>
          <w:rFonts w:hint="eastAsia" w:ascii="Times New Roman" w:hAnsi="Times New Roman" w:eastAsia="宋体"/>
          <w:color w:val="000000"/>
          <w:sz w:val="24"/>
          <w:szCs w:val="22"/>
          <w:highlight w:val="none"/>
          <w:lang w:val="en-US" w:eastAsia="zh-CN"/>
        </w:rPr>
        <w:t>招标</w:t>
      </w:r>
      <w:r>
        <w:rPr>
          <w:rFonts w:hint="default" w:ascii="Times New Roman" w:hAnsi="Times New Roman" w:eastAsia="宋体"/>
          <w:color w:val="000000"/>
          <w:sz w:val="24"/>
          <w:szCs w:val="22"/>
          <w:highlight w:val="none"/>
        </w:rPr>
        <w:t>方</w:t>
      </w:r>
      <w:r>
        <w:rPr>
          <w:rFonts w:hint="default" w:ascii="Times New Roman" w:hAnsi="Times New Roman" w:eastAsia="宋体"/>
          <w:color w:val="000000"/>
          <w:sz w:val="24"/>
          <w:szCs w:val="22"/>
          <w:highlight w:val="none"/>
          <w:lang w:val="en-US" w:eastAsia="zh-CN"/>
        </w:rPr>
        <w:t>提供</w:t>
      </w:r>
      <w:r>
        <w:rPr>
          <w:rFonts w:hint="eastAsia" w:ascii="Times New Roman" w:hAnsi="Times New Roman" w:eastAsia="宋体"/>
          <w:color w:val="000000"/>
          <w:sz w:val="24"/>
          <w:szCs w:val="22"/>
          <w:highlight w:val="none"/>
          <w:lang w:val="en-US" w:eastAsia="zh-CN"/>
        </w:rPr>
        <w:t>控制机房</w:t>
      </w:r>
      <w:r>
        <w:rPr>
          <w:rFonts w:hint="default" w:ascii="Times New Roman" w:hAnsi="Times New Roman" w:eastAsia="宋体"/>
          <w:color w:val="000000"/>
          <w:sz w:val="24"/>
          <w:szCs w:val="22"/>
          <w:highlight w:val="none"/>
          <w:lang w:val="en-US" w:eastAsia="zh-CN"/>
        </w:rPr>
        <w:t>所需的全部设备，</w:t>
      </w:r>
      <w:r>
        <w:rPr>
          <w:rFonts w:hint="eastAsia" w:ascii="Times New Roman" w:hAnsi="Times New Roman" w:eastAsia="宋体"/>
          <w:color w:val="000000"/>
          <w:sz w:val="24"/>
          <w:szCs w:val="22"/>
          <w:highlight w:val="none"/>
          <w:lang w:val="en-US" w:eastAsia="zh-CN"/>
        </w:rPr>
        <w:t>并负责整套系统的安装及调试，</w:t>
      </w:r>
      <w:r>
        <w:rPr>
          <w:rFonts w:hint="default" w:ascii="Times New Roman" w:hAnsi="Times New Roman" w:eastAsia="宋体"/>
          <w:color w:val="000000"/>
          <w:sz w:val="24"/>
          <w:szCs w:val="22"/>
          <w:highlight w:val="none"/>
          <w:lang w:val="en-US" w:eastAsia="zh-CN"/>
        </w:rPr>
        <w:t>以及保证系统正常运行所需的其它连接器件等软硬件设备及材料</w:t>
      </w:r>
      <w:r>
        <w:rPr>
          <w:rFonts w:hint="eastAsia" w:ascii="Times New Roman" w:hAnsi="Times New Roman" w:eastAsia="宋体"/>
          <w:color w:val="000000"/>
          <w:sz w:val="24"/>
          <w:szCs w:val="22"/>
          <w:highlight w:val="none"/>
          <w:lang w:val="en-US" w:eastAsia="zh-CN"/>
        </w:rPr>
        <w:t>；</w:t>
      </w:r>
      <w:r>
        <w:rPr>
          <w:rFonts w:hint="default" w:ascii="Times New Roman" w:hAnsi="Times New Roman" w:eastAsia="宋体"/>
          <w:color w:val="000000"/>
          <w:sz w:val="24"/>
          <w:szCs w:val="22"/>
          <w:highlight w:val="none"/>
          <w:lang w:val="en-US" w:eastAsia="zh-CN"/>
        </w:rPr>
        <w:t>免费提供接口协议</w:t>
      </w:r>
      <w:r>
        <w:rPr>
          <w:rFonts w:hint="eastAsia" w:ascii="Times New Roman" w:hAnsi="Times New Roman" w:eastAsia="宋体"/>
          <w:color w:val="000000"/>
          <w:sz w:val="24"/>
          <w:szCs w:val="22"/>
          <w:highlight w:val="none"/>
          <w:lang w:val="en-US" w:eastAsia="zh-CN"/>
        </w:rPr>
        <w:t>；</w:t>
      </w:r>
      <w:r>
        <w:rPr>
          <w:rFonts w:hint="eastAsia"/>
          <w:color w:val="000000"/>
          <w:sz w:val="24"/>
          <w:szCs w:val="22"/>
          <w:highlight w:val="none"/>
          <w:lang w:val="en-US" w:eastAsia="zh-CN"/>
        </w:rPr>
        <w:t>配合</w:t>
      </w:r>
      <w:r>
        <w:rPr>
          <w:rFonts w:hint="eastAsia" w:eastAsia="宋体"/>
          <w:color w:val="000000"/>
          <w:sz w:val="24"/>
          <w:szCs w:val="22"/>
          <w:highlight w:val="none"/>
          <w:lang w:val="en-US" w:eastAsia="zh-CN"/>
        </w:rPr>
        <w:t>完成与智控平台对接及</w:t>
      </w:r>
      <w:r>
        <w:rPr>
          <w:rFonts w:hint="eastAsia"/>
          <w:color w:val="000000"/>
          <w:sz w:val="24"/>
          <w:szCs w:val="22"/>
          <w:highlight w:val="none"/>
          <w:lang w:val="en-US" w:eastAsia="zh-CN"/>
        </w:rPr>
        <w:t>联合调试等工作，</w:t>
      </w:r>
      <w:r>
        <w:rPr>
          <w:rFonts w:hint="eastAsia" w:ascii="Times New Roman" w:hAnsi="Times New Roman" w:eastAsia="宋体" w:cs="Times New Roman"/>
          <w:b w:val="0"/>
          <w:bCs w:val="0"/>
          <w:color w:val="000000"/>
          <w:kern w:val="2"/>
          <w:sz w:val="24"/>
          <w:szCs w:val="24"/>
          <w:lang w:val="en-US" w:eastAsia="zh-CN" w:bidi="ar"/>
        </w:rPr>
        <w:t>作为智控平台展示窗口，完全适配智控平台的可视化展现需求</w:t>
      </w:r>
      <w:r>
        <w:rPr>
          <w:rFonts w:hint="eastAsia"/>
          <w:color w:val="000000"/>
          <w:sz w:val="24"/>
          <w:szCs w:val="22"/>
          <w:highlight w:val="none"/>
          <w:lang w:val="en-US" w:eastAsia="zh-CN"/>
        </w:rPr>
        <w:t>；</w:t>
      </w:r>
      <w:r>
        <w:rPr>
          <w:rFonts w:hint="default" w:ascii="Times New Roman" w:hAnsi="Times New Roman" w:eastAsia="宋体"/>
          <w:color w:val="000000"/>
          <w:sz w:val="24"/>
          <w:szCs w:val="22"/>
          <w:highlight w:val="none"/>
          <w:lang w:val="en-US" w:eastAsia="zh-CN"/>
        </w:rPr>
        <w:t>提供系统线缆敷设时所需的支撑材料</w:t>
      </w:r>
      <w:r>
        <w:rPr>
          <w:rFonts w:hint="eastAsia" w:ascii="Times New Roman" w:hAnsi="Times New Roman" w:eastAsia="宋体"/>
          <w:color w:val="000000"/>
          <w:sz w:val="24"/>
          <w:szCs w:val="22"/>
          <w:highlight w:val="none"/>
          <w:lang w:val="en-US" w:eastAsia="zh-CN"/>
        </w:rPr>
        <w:t>；</w:t>
      </w:r>
      <w:r>
        <w:rPr>
          <w:rFonts w:hint="default" w:ascii="Times New Roman" w:hAnsi="Times New Roman" w:eastAsia="宋体"/>
          <w:color w:val="000000"/>
          <w:sz w:val="24"/>
          <w:szCs w:val="22"/>
          <w:highlight w:val="none"/>
        </w:rPr>
        <w:t>负责设备运输、</w:t>
      </w:r>
      <w:r>
        <w:rPr>
          <w:rFonts w:hint="default" w:ascii="Times New Roman" w:hAnsi="Times New Roman" w:eastAsia="宋体"/>
          <w:color w:val="000000"/>
          <w:sz w:val="24"/>
          <w:szCs w:val="22"/>
          <w:highlight w:val="none"/>
          <w:lang w:val="en-US" w:eastAsia="zh-CN"/>
        </w:rPr>
        <w:t>调试</w:t>
      </w:r>
      <w:r>
        <w:rPr>
          <w:rFonts w:hint="default" w:ascii="Times New Roman" w:hAnsi="Times New Roman" w:eastAsia="宋体"/>
          <w:color w:val="000000"/>
          <w:sz w:val="24"/>
          <w:szCs w:val="22"/>
          <w:highlight w:val="none"/>
        </w:rPr>
        <w:t>及人员培训等，保证全部系统的安全可靠运行。在实际采购时，如果所列出的设备有任何遗漏（包括合同中未列出而系统运行又需要的设备），则</w:t>
      </w:r>
      <w:r>
        <w:rPr>
          <w:rFonts w:hint="default" w:ascii="Times New Roman" w:hAnsi="Times New Roman" w:eastAsia="宋体"/>
          <w:color w:val="000000"/>
          <w:sz w:val="24"/>
          <w:szCs w:val="22"/>
          <w:highlight w:val="none"/>
          <w:lang w:val="en-US" w:eastAsia="zh-CN"/>
        </w:rPr>
        <w:t>供货</w:t>
      </w:r>
      <w:r>
        <w:rPr>
          <w:rFonts w:hint="default" w:ascii="Times New Roman" w:hAnsi="Times New Roman" w:eastAsia="宋体"/>
          <w:color w:val="000000"/>
          <w:sz w:val="24"/>
          <w:szCs w:val="22"/>
          <w:highlight w:val="none"/>
        </w:rPr>
        <w:t>方应免费提供，招标方将不再支付任何费用。</w:t>
      </w:r>
    </w:p>
    <w:p>
      <w:pPr>
        <w:pageBreakBefore w:val="0"/>
        <w:widowControl w:val="0"/>
        <w:kinsoku/>
        <w:wordWrap/>
        <w:overflowPunct/>
        <w:topLinePunct w:val="0"/>
        <w:autoSpaceDE/>
        <w:autoSpaceDN/>
        <w:bidi w:val="0"/>
        <w:spacing w:line="500" w:lineRule="exact"/>
        <w:ind w:firstLine="464" w:firstLineChars="200"/>
        <w:rPr>
          <w:rFonts w:hint="default" w:ascii="Times New Roman" w:hAnsi="Times New Roman" w:eastAsia="宋体"/>
          <w:color w:val="000000"/>
          <w:sz w:val="24"/>
          <w:szCs w:val="22"/>
          <w:highlight w:val="none"/>
        </w:rPr>
      </w:pPr>
      <w:r>
        <w:rPr>
          <w:rFonts w:hint="eastAsia"/>
          <w:bCs/>
          <w:spacing w:val="-4"/>
          <w:sz w:val="24"/>
          <w:szCs w:val="24"/>
          <w:lang w:val="en-US" w:eastAsia="zh-CN"/>
        </w:rPr>
        <w:t>14、</w:t>
      </w:r>
      <w:r>
        <w:rPr>
          <w:rFonts w:hint="default" w:ascii="Times New Roman" w:hAnsi="Times New Roman" w:eastAsia="宋体"/>
          <w:color w:val="000000"/>
          <w:sz w:val="24"/>
          <w:szCs w:val="22"/>
          <w:highlight w:val="none"/>
        </w:rPr>
        <w:t>系统投入运行后，如果招标方为了符合工业与信息化部新版的相关技术体制和技术规范，需修改或增加系统的功能，</w:t>
      </w:r>
      <w:r>
        <w:rPr>
          <w:rFonts w:hint="default" w:ascii="Times New Roman" w:hAnsi="Times New Roman" w:eastAsia="宋体"/>
          <w:color w:val="000000"/>
          <w:sz w:val="24"/>
          <w:szCs w:val="22"/>
          <w:highlight w:val="none"/>
          <w:lang w:val="en-US" w:eastAsia="zh-CN"/>
        </w:rPr>
        <w:t>供货</w:t>
      </w:r>
      <w:r>
        <w:rPr>
          <w:rFonts w:hint="default" w:ascii="Times New Roman" w:hAnsi="Times New Roman" w:eastAsia="宋体"/>
          <w:color w:val="000000"/>
          <w:sz w:val="24"/>
          <w:szCs w:val="22"/>
          <w:highlight w:val="none"/>
        </w:rPr>
        <w:t>方有义务提供性能的修改和增加，同时免费升级软件版本。</w:t>
      </w:r>
    </w:p>
    <w:p>
      <w:pPr>
        <w:pageBreakBefore w:val="0"/>
        <w:widowControl w:val="0"/>
        <w:kinsoku/>
        <w:wordWrap/>
        <w:overflowPunct/>
        <w:topLinePunct w:val="0"/>
        <w:autoSpaceDE/>
        <w:autoSpaceDN/>
        <w:bidi w:val="0"/>
        <w:adjustRightInd/>
        <w:snapToGrid/>
        <w:spacing w:line="500" w:lineRule="exact"/>
        <w:ind w:firstLine="464" w:firstLineChars="200"/>
        <w:textAlignment w:val="auto"/>
        <w:rPr>
          <w:rFonts w:hint="default" w:ascii="Times New Roman" w:hAnsi="Times New Roman" w:eastAsia="宋体" w:cs="Times New Roman"/>
          <w:color w:val="000000"/>
          <w:sz w:val="24"/>
          <w:highlight w:val="none"/>
          <w:lang w:val="en-US" w:eastAsia="zh-CN"/>
        </w:rPr>
      </w:pPr>
      <w:r>
        <w:rPr>
          <w:rFonts w:hint="eastAsia"/>
          <w:bCs/>
          <w:spacing w:val="-4"/>
          <w:sz w:val="24"/>
          <w:szCs w:val="24"/>
          <w:lang w:val="en-US" w:eastAsia="zh-CN"/>
        </w:rPr>
        <w:t>15、</w:t>
      </w:r>
      <w:r>
        <w:rPr>
          <w:rFonts w:hint="default" w:ascii="Times New Roman" w:hAnsi="Times New Roman" w:eastAsia="宋体" w:cs="Times New Roman"/>
          <w:color w:val="000000"/>
          <w:sz w:val="24"/>
          <w:highlight w:val="none"/>
          <w:lang w:val="en-US" w:eastAsia="zh-CN"/>
        </w:rPr>
        <w:t>本项目中所有设备、软件和技术涉及到专利的全部费用均被认为已包含在设备报价中，投标方必须保证招标方不承担有关设备和技术专利的一切责任。所有软件必须使用最新正式版，招标方对发生的任何版权纠纷不承担责任和义务。</w:t>
      </w:r>
    </w:p>
    <w:p>
      <w:pPr>
        <w:pageBreakBefore w:val="0"/>
        <w:widowControl w:val="0"/>
        <w:kinsoku/>
        <w:wordWrap/>
        <w:overflowPunct/>
        <w:topLinePunct w:val="0"/>
        <w:autoSpaceDE/>
        <w:autoSpaceDN/>
        <w:bidi w:val="0"/>
        <w:spacing w:line="500" w:lineRule="exact"/>
        <w:ind w:firstLine="464" w:firstLineChars="200"/>
        <w:rPr>
          <w:rFonts w:hint="default" w:ascii="Times New Roman" w:hAnsi="Times New Roman" w:eastAsia="宋体" w:cs="Times New Roman"/>
          <w:color w:val="000000"/>
          <w:sz w:val="24"/>
          <w:szCs w:val="22"/>
          <w:highlight w:val="none"/>
        </w:rPr>
      </w:pPr>
      <w:r>
        <w:rPr>
          <w:rFonts w:hint="eastAsia"/>
          <w:bCs/>
          <w:spacing w:val="-4"/>
          <w:sz w:val="24"/>
          <w:szCs w:val="24"/>
          <w:lang w:val="en-US" w:eastAsia="zh-CN"/>
        </w:rPr>
        <w:t>16、</w:t>
      </w:r>
      <w:r>
        <w:rPr>
          <w:rFonts w:hint="default" w:ascii="Times New Roman" w:hAnsi="Times New Roman" w:eastAsia="宋体" w:cs="Times New Roman"/>
          <w:color w:val="000000"/>
          <w:sz w:val="24"/>
          <w:szCs w:val="22"/>
          <w:highlight w:val="none"/>
        </w:rPr>
        <w:t>投标方还应在技术应答书中详细提供：</w:t>
      </w:r>
    </w:p>
    <w:p>
      <w:pPr>
        <w:pageBreakBefore w:val="0"/>
        <w:widowControl w:val="0"/>
        <w:kinsoku/>
        <w:wordWrap/>
        <w:overflowPunct/>
        <w:topLinePunct w:val="0"/>
        <w:autoSpaceDE/>
        <w:autoSpaceDN/>
        <w:bidi w:val="0"/>
        <w:spacing w:line="500" w:lineRule="exact"/>
        <w:ind w:firstLine="480" w:firstLineChars="200"/>
        <w:rPr>
          <w:rFonts w:hint="eastAsia" w:ascii="Times New Roman" w:hAnsi="Times New Roman" w:eastAsia="宋体" w:cs="Times New Roman"/>
          <w:color w:val="000000"/>
          <w:sz w:val="24"/>
          <w:szCs w:val="22"/>
          <w:highlight w:val="none"/>
          <w:lang w:eastAsia="zh-CN"/>
        </w:rPr>
      </w:pPr>
      <w:r>
        <w:rPr>
          <w:rFonts w:hint="default" w:ascii="Times New Roman" w:hAnsi="Times New Roman" w:eastAsia="宋体" w:cs="Times New Roman"/>
          <w:color w:val="000000"/>
          <w:sz w:val="24"/>
          <w:szCs w:val="22"/>
          <w:highlight w:val="none"/>
        </w:rPr>
        <w:t>1</w:t>
      </w:r>
      <w:r>
        <w:rPr>
          <w:rFonts w:hint="eastAsia" w:ascii="Times New Roman" w:hAnsi="Times New Roman" w:eastAsia="宋体" w:cs="Times New Roman"/>
          <w:color w:val="000000"/>
          <w:sz w:val="24"/>
          <w:szCs w:val="22"/>
          <w:highlight w:val="none"/>
          <w:lang w:eastAsia="zh-CN"/>
        </w:rPr>
        <w:t>）</w:t>
      </w:r>
      <w:r>
        <w:rPr>
          <w:rFonts w:hint="default" w:ascii="Times New Roman" w:hAnsi="Times New Roman" w:eastAsia="宋体" w:cs="Times New Roman"/>
          <w:color w:val="000000"/>
          <w:sz w:val="24"/>
          <w:szCs w:val="22"/>
          <w:highlight w:val="none"/>
        </w:rPr>
        <w:t>提供系统组成的实物图片资料</w:t>
      </w:r>
      <w:r>
        <w:rPr>
          <w:rFonts w:hint="eastAsia" w:cs="Times New Roman"/>
          <w:color w:val="000000"/>
          <w:sz w:val="24"/>
          <w:szCs w:val="22"/>
          <w:highlight w:val="none"/>
          <w:lang w:eastAsia="zh-CN"/>
        </w:rPr>
        <w:t>。</w:t>
      </w:r>
    </w:p>
    <w:p>
      <w:pPr>
        <w:pageBreakBefore w:val="0"/>
        <w:widowControl w:val="0"/>
        <w:kinsoku/>
        <w:wordWrap/>
        <w:overflowPunct/>
        <w:topLinePunct w:val="0"/>
        <w:autoSpaceDE/>
        <w:autoSpaceDN/>
        <w:bidi w:val="0"/>
        <w:spacing w:line="500" w:lineRule="exact"/>
        <w:ind w:firstLine="480" w:firstLineChars="200"/>
        <w:rPr>
          <w:rFonts w:hint="eastAsia" w:ascii="Times New Roman" w:hAnsi="Times New Roman" w:eastAsia="宋体" w:cs="Times New Roman"/>
          <w:color w:val="000000"/>
          <w:sz w:val="24"/>
          <w:szCs w:val="22"/>
          <w:highlight w:val="none"/>
          <w:lang w:eastAsia="zh-CN"/>
        </w:rPr>
      </w:pPr>
      <w:r>
        <w:rPr>
          <w:rFonts w:hint="eastAsia" w:ascii="Times New Roman" w:hAnsi="Times New Roman" w:eastAsia="宋体" w:cs="Times New Roman"/>
          <w:color w:val="000000"/>
          <w:sz w:val="24"/>
          <w:szCs w:val="22"/>
          <w:highlight w:val="none"/>
          <w:lang w:val="en-US" w:eastAsia="zh-CN"/>
        </w:rPr>
        <w:t>2</w:t>
      </w:r>
      <w:r>
        <w:rPr>
          <w:rFonts w:hint="eastAsia" w:ascii="Times New Roman" w:hAnsi="Times New Roman" w:eastAsia="宋体" w:cs="Times New Roman"/>
          <w:color w:val="000000"/>
          <w:sz w:val="24"/>
          <w:szCs w:val="22"/>
          <w:highlight w:val="none"/>
          <w:lang w:eastAsia="zh-CN"/>
        </w:rPr>
        <w:t>）</w:t>
      </w:r>
      <w:r>
        <w:rPr>
          <w:rFonts w:hint="default" w:ascii="Times New Roman" w:hAnsi="Times New Roman" w:eastAsia="宋体" w:cs="Times New Roman"/>
          <w:color w:val="000000"/>
          <w:sz w:val="24"/>
          <w:szCs w:val="22"/>
          <w:highlight w:val="none"/>
        </w:rPr>
        <w:t>采用的设备性能</w:t>
      </w:r>
      <w:r>
        <w:rPr>
          <w:rFonts w:hint="eastAsia" w:cs="Times New Roman"/>
          <w:color w:val="000000"/>
          <w:sz w:val="24"/>
          <w:szCs w:val="22"/>
          <w:highlight w:val="none"/>
          <w:lang w:eastAsia="zh-CN"/>
        </w:rPr>
        <w:t>。</w:t>
      </w:r>
    </w:p>
    <w:p>
      <w:pPr>
        <w:pageBreakBefore w:val="0"/>
        <w:widowControl w:val="0"/>
        <w:kinsoku/>
        <w:wordWrap/>
        <w:overflowPunct/>
        <w:topLinePunct w:val="0"/>
        <w:autoSpaceDE/>
        <w:autoSpaceDN/>
        <w:bidi w:val="0"/>
        <w:spacing w:line="500" w:lineRule="exact"/>
        <w:ind w:firstLine="480" w:firstLineChars="200"/>
        <w:rPr>
          <w:rFonts w:hint="eastAsia" w:ascii="Times New Roman" w:hAnsi="Times New Roman" w:eastAsia="宋体" w:cs="Times New Roman"/>
          <w:color w:val="000000"/>
          <w:sz w:val="24"/>
          <w:szCs w:val="22"/>
          <w:highlight w:val="none"/>
          <w:lang w:eastAsia="zh-CN"/>
        </w:rPr>
      </w:pPr>
      <w:r>
        <w:rPr>
          <w:rFonts w:hint="eastAsia" w:ascii="Times New Roman" w:hAnsi="Times New Roman" w:eastAsia="宋体" w:cs="Times New Roman"/>
          <w:color w:val="000000"/>
          <w:sz w:val="24"/>
          <w:szCs w:val="22"/>
          <w:highlight w:val="none"/>
          <w:lang w:val="en-US" w:eastAsia="zh-CN"/>
        </w:rPr>
        <w:t>3</w:t>
      </w:r>
      <w:r>
        <w:rPr>
          <w:rFonts w:hint="eastAsia" w:ascii="Times New Roman" w:hAnsi="Times New Roman" w:eastAsia="宋体" w:cs="Times New Roman"/>
          <w:color w:val="000000"/>
          <w:sz w:val="24"/>
          <w:szCs w:val="22"/>
          <w:highlight w:val="none"/>
          <w:lang w:eastAsia="zh-CN"/>
        </w:rPr>
        <w:t>）</w:t>
      </w:r>
      <w:r>
        <w:rPr>
          <w:rFonts w:hint="default" w:ascii="Times New Roman" w:hAnsi="Times New Roman" w:eastAsia="宋体" w:cs="Times New Roman"/>
          <w:color w:val="000000"/>
          <w:sz w:val="24"/>
          <w:szCs w:val="22"/>
          <w:highlight w:val="none"/>
        </w:rPr>
        <w:t>硬件设备的外形尺寸、面板布置、进出线方式</w:t>
      </w:r>
      <w:r>
        <w:rPr>
          <w:rFonts w:hint="eastAsia" w:cs="Times New Roman"/>
          <w:color w:val="000000"/>
          <w:sz w:val="24"/>
          <w:szCs w:val="22"/>
          <w:highlight w:val="none"/>
          <w:lang w:eastAsia="zh-CN"/>
        </w:rPr>
        <w:t>。</w:t>
      </w:r>
    </w:p>
    <w:p>
      <w:pPr>
        <w:pageBreakBefore w:val="0"/>
        <w:widowControl w:val="0"/>
        <w:kinsoku/>
        <w:wordWrap/>
        <w:overflowPunct/>
        <w:topLinePunct w:val="0"/>
        <w:autoSpaceDE/>
        <w:autoSpaceDN/>
        <w:bidi w:val="0"/>
        <w:spacing w:line="500" w:lineRule="exact"/>
        <w:ind w:firstLine="480" w:firstLineChars="200"/>
        <w:rPr>
          <w:rFonts w:hint="eastAsia" w:ascii="Times New Roman" w:hAnsi="Times New Roman" w:eastAsia="宋体" w:cs="Times New Roman"/>
          <w:color w:val="000000"/>
          <w:sz w:val="24"/>
          <w:szCs w:val="22"/>
          <w:highlight w:val="none"/>
          <w:lang w:eastAsia="zh-CN"/>
        </w:rPr>
      </w:pPr>
      <w:r>
        <w:rPr>
          <w:rFonts w:hint="eastAsia" w:ascii="Times New Roman" w:hAnsi="Times New Roman" w:eastAsia="宋体" w:cs="Times New Roman"/>
          <w:color w:val="000000"/>
          <w:sz w:val="24"/>
          <w:szCs w:val="22"/>
          <w:highlight w:val="none"/>
          <w:lang w:val="en-US" w:eastAsia="zh-CN"/>
        </w:rPr>
        <w:t>4</w:t>
      </w:r>
      <w:r>
        <w:rPr>
          <w:rFonts w:hint="eastAsia" w:ascii="Times New Roman" w:hAnsi="Times New Roman" w:eastAsia="宋体" w:cs="Times New Roman"/>
          <w:color w:val="000000"/>
          <w:sz w:val="24"/>
          <w:szCs w:val="22"/>
          <w:highlight w:val="none"/>
          <w:lang w:eastAsia="zh-CN"/>
        </w:rPr>
        <w:t>）</w:t>
      </w:r>
      <w:r>
        <w:rPr>
          <w:rFonts w:hint="default" w:ascii="Times New Roman" w:hAnsi="Times New Roman" w:eastAsia="宋体" w:cs="Times New Roman"/>
          <w:color w:val="000000"/>
          <w:sz w:val="24"/>
          <w:szCs w:val="22"/>
          <w:highlight w:val="none"/>
        </w:rPr>
        <w:t>硬件设备的重量、安装方式和要求</w:t>
      </w:r>
      <w:r>
        <w:rPr>
          <w:rFonts w:hint="eastAsia" w:cs="Times New Roman"/>
          <w:color w:val="000000"/>
          <w:sz w:val="24"/>
          <w:szCs w:val="22"/>
          <w:highlight w:val="none"/>
          <w:lang w:eastAsia="zh-CN"/>
        </w:rPr>
        <w:t>。</w:t>
      </w:r>
    </w:p>
    <w:p>
      <w:pPr>
        <w:pageBreakBefore w:val="0"/>
        <w:widowControl w:val="0"/>
        <w:kinsoku/>
        <w:wordWrap/>
        <w:overflowPunct/>
        <w:topLinePunct w:val="0"/>
        <w:autoSpaceDE/>
        <w:autoSpaceDN/>
        <w:bidi w:val="0"/>
        <w:spacing w:line="500" w:lineRule="exact"/>
        <w:ind w:firstLine="480" w:firstLineChars="200"/>
        <w:rPr>
          <w:rFonts w:hint="eastAsia" w:ascii="Times New Roman" w:hAnsi="Times New Roman" w:eastAsia="宋体" w:cs="Times New Roman"/>
          <w:color w:val="000000"/>
          <w:sz w:val="24"/>
          <w:szCs w:val="22"/>
          <w:highlight w:val="none"/>
          <w:lang w:eastAsia="zh-CN"/>
        </w:rPr>
      </w:pPr>
      <w:r>
        <w:rPr>
          <w:rFonts w:hint="eastAsia" w:ascii="Times New Roman" w:hAnsi="Times New Roman" w:eastAsia="宋体" w:cs="Times New Roman"/>
          <w:color w:val="000000"/>
          <w:sz w:val="24"/>
          <w:szCs w:val="22"/>
          <w:highlight w:val="none"/>
          <w:lang w:val="en-US" w:eastAsia="zh-CN"/>
        </w:rPr>
        <w:t>5</w:t>
      </w:r>
      <w:r>
        <w:rPr>
          <w:rFonts w:hint="eastAsia" w:ascii="Times New Roman" w:hAnsi="Times New Roman" w:eastAsia="宋体" w:cs="Times New Roman"/>
          <w:color w:val="000000"/>
          <w:sz w:val="24"/>
          <w:szCs w:val="22"/>
          <w:highlight w:val="none"/>
          <w:lang w:eastAsia="zh-CN"/>
        </w:rPr>
        <w:t>）</w:t>
      </w:r>
      <w:r>
        <w:rPr>
          <w:rFonts w:hint="default" w:ascii="Times New Roman" w:hAnsi="Times New Roman" w:eastAsia="宋体" w:cs="Times New Roman"/>
          <w:color w:val="000000"/>
          <w:sz w:val="24"/>
          <w:szCs w:val="22"/>
          <w:highlight w:val="none"/>
        </w:rPr>
        <w:t>设备所需的电源种类、耗电量、电压及</w:t>
      </w:r>
      <w:r>
        <w:rPr>
          <w:rFonts w:hint="eastAsia" w:ascii="Times New Roman" w:hAnsi="Times New Roman" w:eastAsia="宋体" w:cs="Times New Roman"/>
          <w:color w:val="000000"/>
          <w:sz w:val="24"/>
          <w:szCs w:val="22"/>
          <w:highlight w:val="none"/>
          <w:lang w:val="en-US" w:eastAsia="zh-CN"/>
        </w:rPr>
        <w:t>接</w:t>
      </w:r>
      <w:r>
        <w:rPr>
          <w:rFonts w:hint="default" w:ascii="Times New Roman" w:hAnsi="Times New Roman" w:eastAsia="宋体" w:cs="Times New Roman"/>
          <w:color w:val="000000"/>
          <w:sz w:val="24"/>
          <w:szCs w:val="22"/>
          <w:highlight w:val="none"/>
        </w:rPr>
        <w:t>地线要求等</w:t>
      </w:r>
      <w:r>
        <w:rPr>
          <w:rFonts w:hint="eastAsia" w:cs="Times New Roman"/>
          <w:color w:val="000000"/>
          <w:sz w:val="24"/>
          <w:szCs w:val="22"/>
          <w:highlight w:val="none"/>
          <w:lang w:eastAsia="zh-CN"/>
        </w:rPr>
        <w:t>。</w:t>
      </w:r>
    </w:p>
    <w:p>
      <w:pPr>
        <w:pageBreakBefore w:val="0"/>
        <w:widowControl w:val="0"/>
        <w:kinsoku/>
        <w:wordWrap/>
        <w:overflowPunct/>
        <w:topLinePunct w:val="0"/>
        <w:autoSpaceDE/>
        <w:autoSpaceDN/>
        <w:bidi w:val="0"/>
        <w:spacing w:line="500" w:lineRule="exact"/>
        <w:ind w:firstLine="480" w:firstLineChars="200"/>
        <w:rPr>
          <w:rFonts w:hint="eastAsia" w:ascii="Times New Roman" w:hAnsi="Times New Roman" w:eastAsia="宋体" w:cs="Times New Roman"/>
          <w:color w:val="000000"/>
          <w:sz w:val="24"/>
          <w:szCs w:val="22"/>
          <w:highlight w:val="none"/>
          <w:lang w:eastAsia="zh-CN"/>
        </w:rPr>
      </w:pPr>
      <w:r>
        <w:rPr>
          <w:rFonts w:hint="eastAsia" w:ascii="Times New Roman" w:hAnsi="Times New Roman" w:eastAsia="宋体" w:cs="Times New Roman"/>
          <w:color w:val="000000"/>
          <w:sz w:val="24"/>
          <w:szCs w:val="22"/>
          <w:highlight w:val="none"/>
          <w:lang w:val="en-US" w:eastAsia="zh-CN"/>
        </w:rPr>
        <w:t>6</w:t>
      </w:r>
      <w:r>
        <w:rPr>
          <w:rFonts w:hint="eastAsia" w:ascii="Times New Roman" w:hAnsi="Times New Roman" w:eastAsia="宋体" w:cs="Times New Roman"/>
          <w:color w:val="000000"/>
          <w:sz w:val="24"/>
          <w:szCs w:val="22"/>
          <w:highlight w:val="none"/>
          <w:lang w:eastAsia="zh-CN"/>
        </w:rPr>
        <w:t>）</w:t>
      </w:r>
      <w:r>
        <w:rPr>
          <w:rFonts w:hint="default" w:ascii="Times New Roman" w:hAnsi="Times New Roman" w:eastAsia="宋体" w:cs="Times New Roman"/>
          <w:color w:val="000000"/>
          <w:sz w:val="24"/>
          <w:szCs w:val="22"/>
          <w:highlight w:val="none"/>
        </w:rPr>
        <w:t>设备安装方式和抗震措施</w:t>
      </w:r>
      <w:r>
        <w:rPr>
          <w:rFonts w:hint="eastAsia" w:cs="Times New Roman"/>
          <w:color w:val="000000"/>
          <w:sz w:val="24"/>
          <w:szCs w:val="22"/>
          <w:highlight w:val="none"/>
          <w:lang w:eastAsia="zh-CN"/>
        </w:rPr>
        <w:t>。</w:t>
      </w:r>
    </w:p>
    <w:p>
      <w:pPr>
        <w:pageBreakBefore w:val="0"/>
        <w:widowControl w:val="0"/>
        <w:kinsoku/>
        <w:wordWrap/>
        <w:overflowPunct/>
        <w:topLinePunct w:val="0"/>
        <w:autoSpaceDE/>
        <w:autoSpaceDN/>
        <w:bidi w:val="0"/>
        <w:spacing w:line="500" w:lineRule="exact"/>
        <w:ind w:firstLine="480" w:firstLineChars="200"/>
        <w:rPr>
          <w:rFonts w:hint="eastAsia" w:ascii="Times New Roman" w:hAnsi="Times New Roman" w:eastAsia="宋体" w:cs="Times New Roman"/>
          <w:color w:val="000000"/>
          <w:sz w:val="24"/>
          <w:szCs w:val="22"/>
          <w:highlight w:val="none"/>
          <w:lang w:eastAsia="zh-CN"/>
        </w:rPr>
      </w:pPr>
      <w:r>
        <w:rPr>
          <w:rFonts w:hint="eastAsia" w:ascii="Times New Roman" w:hAnsi="Times New Roman" w:eastAsia="宋体" w:cs="Times New Roman"/>
          <w:color w:val="000000"/>
          <w:sz w:val="24"/>
          <w:szCs w:val="22"/>
          <w:highlight w:val="none"/>
          <w:lang w:val="en-US" w:eastAsia="zh-CN"/>
        </w:rPr>
        <w:t>7</w:t>
      </w:r>
      <w:r>
        <w:rPr>
          <w:rFonts w:hint="eastAsia" w:ascii="Times New Roman" w:hAnsi="Times New Roman" w:eastAsia="宋体" w:cs="Times New Roman"/>
          <w:color w:val="000000"/>
          <w:sz w:val="24"/>
          <w:szCs w:val="22"/>
          <w:highlight w:val="none"/>
          <w:lang w:eastAsia="zh-CN"/>
        </w:rPr>
        <w:t>）</w:t>
      </w:r>
      <w:r>
        <w:rPr>
          <w:rFonts w:hint="default" w:ascii="Times New Roman" w:hAnsi="Times New Roman" w:eastAsia="宋体" w:cs="Times New Roman"/>
          <w:color w:val="000000"/>
          <w:sz w:val="24"/>
          <w:szCs w:val="22"/>
          <w:highlight w:val="none"/>
        </w:rPr>
        <w:t>投标方应根据招标方在本规范书中提供的建设规模做出最佳的设备配置，如对招标方提出的建设规模有异议，可以提出不同的意见并说明理由</w:t>
      </w:r>
      <w:r>
        <w:rPr>
          <w:rFonts w:hint="eastAsia" w:cs="Times New Roman"/>
          <w:color w:val="000000"/>
          <w:sz w:val="24"/>
          <w:szCs w:val="22"/>
          <w:highlight w:val="none"/>
          <w:lang w:eastAsia="zh-CN"/>
        </w:rPr>
        <w:t>。</w:t>
      </w:r>
    </w:p>
    <w:p>
      <w:pPr>
        <w:pageBreakBefore w:val="0"/>
        <w:widowControl w:val="0"/>
        <w:kinsoku/>
        <w:wordWrap/>
        <w:overflowPunct/>
        <w:topLinePunct w:val="0"/>
        <w:autoSpaceDE/>
        <w:autoSpaceDN/>
        <w:bidi w:val="0"/>
        <w:spacing w:line="500" w:lineRule="exact"/>
        <w:ind w:firstLine="480" w:firstLineChars="200"/>
        <w:rPr>
          <w:rFonts w:hint="default" w:ascii="Times New Roman" w:hAnsi="Times New Roman" w:eastAsia="宋体" w:cs="Times New Roman"/>
          <w:color w:val="000000"/>
          <w:sz w:val="24"/>
          <w:szCs w:val="22"/>
          <w:highlight w:val="none"/>
        </w:rPr>
      </w:pPr>
      <w:r>
        <w:rPr>
          <w:rFonts w:hint="eastAsia" w:ascii="Times New Roman" w:hAnsi="Times New Roman" w:eastAsia="宋体" w:cs="Times New Roman"/>
          <w:color w:val="000000"/>
          <w:sz w:val="24"/>
          <w:szCs w:val="22"/>
          <w:highlight w:val="none"/>
          <w:lang w:val="en-US" w:eastAsia="zh-CN"/>
        </w:rPr>
        <w:t>8</w:t>
      </w:r>
      <w:r>
        <w:rPr>
          <w:rFonts w:hint="eastAsia" w:ascii="Times New Roman" w:hAnsi="Times New Roman" w:eastAsia="宋体" w:cs="Times New Roman"/>
          <w:color w:val="000000"/>
          <w:sz w:val="24"/>
          <w:szCs w:val="22"/>
          <w:highlight w:val="none"/>
          <w:lang w:eastAsia="zh-CN"/>
        </w:rPr>
        <w:t>）</w:t>
      </w:r>
      <w:r>
        <w:rPr>
          <w:rFonts w:hint="default" w:ascii="Times New Roman" w:hAnsi="Times New Roman" w:eastAsia="宋体" w:cs="Times New Roman"/>
          <w:color w:val="000000"/>
          <w:sz w:val="24"/>
          <w:szCs w:val="22"/>
          <w:highlight w:val="none"/>
        </w:rPr>
        <w:t>投标方应列出所提供的书面技术资料的详细清单。</w:t>
      </w:r>
    </w:p>
    <w:p>
      <w:pPr>
        <w:pageBreakBefore w:val="0"/>
        <w:widowControl w:val="0"/>
        <w:kinsoku/>
        <w:wordWrap/>
        <w:overflowPunct/>
        <w:topLinePunct w:val="0"/>
        <w:autoSpaceDE/>
        <w:autoSpaceDN/>
        <w:bidi w:val="0"/>
        <w:spacing w:line="500" w:lineRule="exact"/>
        <w:ind w:firstLine="464" w:firstLineChars="200"/>
        <w:rPr>
          <w:rFonts w:hint="default" w:ascii="Times New Roman" w:hAnsi="Times New Roman" w:eastAsia="宋体" w:cs="Times New Roman"/>
          <w:color w:val="000000"/>
          <w:sz w:val="24"/>
          <w:szCs w:val="22"/>
          <w:highlight w:val="none"/>
        </w:rPr>
      </w:pPr>
      <w:r>
        <w:rPr>
          <w:rFonts w:hint="eastAsia"/>
          <w:bCs/>
          <w:spacing w:val="-4"/>
          <w:sz w:val="24"/>
          <w:szCs w:val="24"/>
          <w:lang w:val="en-US" w:eastAsia="zh-CN"/>
        </w:rPr>
        <w:t>17、</w:t>
      </w:r>
      <w:r>
        <w:rPr>
          <w:rFonts w:hint="default" w:ascii="Times New Roman" w:hAnsi="Times New Roman" w:eastAsia="宋体" w:cs="Times New Roman"/>
          <w:color w:val="000000"/>
          <w:sz w:val="24"/>
          <w:szCs w:val="22"/>
          <w:highlight w:val="none"/>
        </w:rPr>
        <w:t>投标方应根据要求提供有关设备、图纸、技术资料</w:t>
      </w:r>
      <w:r>
        <w:rPr>
          <w:rFonts w:hint="eastAsia" w:ascii="Times New Roman" w:hAnsi="Times New Roman" w:eastAsia="宋体" w:cs="Times New Roman"/>
          <w:color w:val="000000"/>
          <w:sz w:val="24"/>
          <w:szCs w:val="22"/>
          <w:highlight w:val="none"/>
          <w:lang w:val="en-US" w:eastAsia="zh-CN"/>
        </w:rPr>
        <w:t>的</w:t>
      </w:r>
      <w:r>
        <w:rPr>
          <w:rFonts w:hint="default" w:ascii="Times New Roman" w:hAnsi="Times New Roman" w:eastAsia="宋体" w:cs="Times New Roman"/>
          <w:color w:val="000000"/>
          <w:sz w:val="24"/>
          <w:szCs w:val="22"/>
          <w:highlight w:val="none"/>
        </w:rPr>
        <w:t>详细说明以及技术服务。正常生产所需要的部件、必要的备件和安装、维修专用工具，无论在本技术规格书中是否加以说明，均应提供完备。供货范围中提出的所有设备部件等其技术数据应由投标方加以完善。</w:t>
      </w:r>
    </w:p>
    <w:p>
      <w:pPr>
        <w:pageBreakBefore w:val="0"/>
        <w:widowControl w:val="0"/>
        <w:kinsoku/>
        <w:wordWrap/>
        <w:overflowPunct/>
        <w:topLinePunct w:val="0"/>
        <w:autoSpaceDE/>
        <w:autoSpaceDN/>
        <w:bidi w:val="0"/>
        <w:spacing w:line="500" w:lineRule="exact"/>
        <w:ind w:firstLine="464" w:firstLineChars="200"/>
        <w:rPr>
          <w:rFonts w:hint="default" w:ascii="Times New Roman" w:hAnsi="Times New Roman" w:eastAsia="宋体" w:cs="Times New Roman"/>
          <w:color w:val="FF0000"/>
          <w:sz w:val="24"/>
          <w:szCs w:val="22"/>
          <w:highlight w:val="none"/>
          <w:lang w:val="en-US" w:eastAsia="zh-CN"/>
        </w:rPr>
      </w:pPr>
      <w:r>
        <w:rPr>
          <w:rFonts w:hint="eastAsia"/>
          <w:bCs/>
          <w:spacing w:val="-4"/>
          <w:sz w:val="24"/>
          <w:szCs w:val="24"/>
          <w:lang w:val="en-US" w:eastAsia="zh-CN"/>
        </w:rPr>
        <w:t>18、</w:t>
      </w:r>
      <w:r>
        <w:rPr>
          <w:rFonts w:hint="default" w:ascii="Times New Roman" w:hAnsi="Times New Roman" w:eastAsia="宋体" w:cs="Times New Roman"/>
          <w:color w:val="000000"/>
          <w:sz w:val="24"/>
          <w:szCs w:val="22"/>
          <w:highlight w:val="none"/>
        </w:rPr>
        <w:t>为了实现本技术规范书中的功能要求，不论招标方是否说明，投标方都应该详尽列出实现功能所需要的全部设备配置，并报价。</w:t>
      </w:r>
    </w:p>
    <w:p>
      <w:pPr>
        <w:pageBreakBefore w:val="0"/>
        <w:widowControl w:val="0"/>
        <w:kinsoku/>
        <w:wordWrap/>
        <w:overflowPunct/>
        <w:topLinePunct w:val="0"/>
        <w:autoSpaceDE/>
        <w:autoSpaceDN/>
        <w:bidi w:val="0"/>
        <w:adjustRightInd/>
        <w:snapToGrid/>
        <w:spacing w:line="500" w:lineRule="exact"/>
        <w:ind w:firstLine="464" w:firstLineChars="200"/>
        <w:textAlignment w:val="auto"/>
        <w:rPr>
          <w:rFonts w:hint="default" w:ascii="Times New Roman" w:hAnsi="Times New Roman" w:eastAsia="宋体" w:cs="Times New Roman"/>
          <w:color w:val="000000"/>
          <w:sz w:val="24"/>
          <w:highlight w:val="none"/>
          <w:lang w:val="en-US" w:eastAsia="zh-CN"/>
        </w:rPr>
      </w:pPr>
      <w:r>
        <w:rPr>
          <w:rFonts w:hint="eastAsia"/>
          <w:bCs/>
          <w:spacing w:val="-4"/>
          <w:sz w:val="24"/>
          <w:szCs w:val="24"/>
          <w:lang w:val="en-US" w:eastAsia="zh-CN"/>
        </w:rPr>
        <w:t>19、</w:t>
      </w:r>
      <w:r>
        <w:rPr>
          <w:rFonts w:hint="default" w:ascii="Times New Roman" w:hAnsi="Times New Roman" w:eastAsia="宋体" w:cs="Times New Roman"/>
          <w:color w:val="000000"/>
          <w:sz w:val="24"/>
          <w:highlight w:val="none"/>
          <w:lang w:val="en-US" w:eastAsia="zh-CN"/>
        </w:rPr>
        <w:t>报价书及合同规定的文件，包括图纸、计算、说明、使用手册等，均应使用国际单位制（SI）。</w:t>
      </w:r>
    </w:p>
    <w:p>
      <w:pPr>
        <w:pageBreakBefore w:val="0"/>
        <w:widowControl w:val="0"/>
        <w:kinsoku/>
        <w:wordWrap/>
        <w:overflowPunct/>
        <w:topLinePunct w:val="0"/>
        <w:autoSpaceDE/>
        <w:autoSpaceDN/>
        <w:bidi w:val="0"/>
        <w:adjustRightInd/>
        <w:snapToGrid/>
        <w:spacing w:line="500" w:lineRule="exact"/>
        <w:ind w:firstLine="464" w:firstLineChars="200"/>
        <w:textAlignment w:val="auto"/>
        <w:rPr>
          <w:rFonts w:hint="default" w:ascii="Times New Roman" w:hAnsi="Times New Roman" w:eastAsia="宋体" w:cs="Times New Roman"/>
          <w:strike/>
          <w:dstrike w:val="0"/>
          <w:color w:val="000000"/>
          <w:sz w:val="24"/>
          <w:highlight w:val="none"/>
          <w:lang w:val="en-US" w:eastAsia="zh-CN"/>
        </w:rPr>
      </w:pPr>
      <w:r>
        <w:rPr>
          <w:rFonts w:hint="eastAsia"/>
          <w:bCs/>
          <w:spacing w:val="-4"/>
          <w:sz w:val="24"/>
          <w:szCs w:val="24"/>
          <w:lang w:val="en-US" w:eastAsia="zh-CN"/>
        </w:rPr>
        <w:t>20、</w:t>
      </w:r>
      <w:r>
        <w:rPr>
          <w:rFonts w:hint="default" w:ascii="Times New Roman" w:hAnsi="Times New Roman" w:eastAsia="宋体" w:cs="Times New Roman"/>
          <w:color w:val="000000"/>
          <w:sz w:val="24"/>
          <w:highlight w:val="none"/>
          <w:lang w:val="en-US" w:eastAsia="zh-CN"/>
        </w:rPr>
        <w:t>所有文件、图纸及相互通信等材料均应使用中文。</w:t>
      </w:r>
    </w:p>
    <w:bookmarkEnd w:id="194"/>
    <w:bookmarkEnd w:id="195"/>
    <w:p>
      <w:pPr>
        <w:pageBreakBefore w:val="0"/>
        <w:widowControl w:val="0"/>
        <w:kinsoku/>
        <w:wordWrap/>
        <w:overflowPunct/>
        <w:topLinePunct w:val="0"/>
        <w:autoSpaceDE/>
        <w:autoSpaceDN/>
        <w:bidi w:val="0"/>
        <w:spacing w:before="120" w:beforeLines="50" w:after="120" w:afterLines="50" w:line="500" w:lineRule="exact"/>
        <w:outlineLvl w:val="0"/>
        <w:rPr>
          <w:rFonts w:hint="default" w:ascii="Times New Roman" w:hAnsi="Times New Roman" w:eastAsia="黑体" w:cs="Times New Roman"/>
          <w:b/>
          <w:sz w:val="28"/>
          <w:szCs w:val="28"/>
          <w:lang w:val="en-US" w:eastAsia="zh-CN"/>
        </w:rPr>
      </w:pPr>
      <w:bookmarkStart w:id="196" w:name="_Toc30351"/>
      <w:bookmarkStart w:id="197" w:name="_Toc17266"/>
      <w:bookmarkStart w:id="198" w:name="_Toc30167_WPSOffice_Level1"/>
      <w:bookmarkStart w:id="199" w:name="_Toc28676_WPSOffice_Level1"/>
      <w:r>
        <w:rPr>
          <w:rFonts w:hint="eastAsia" w:ascii="Times New Roman" w:hAnsi="Times New Roman" w:eastAsia="黑体" w:cs="Times New Roman"/>
          <w:b/>
          <w:sz w:val="28"/>
          <w:szCs w:val="28"/>
          <w:lang w:val="en-US" w:eastAsia="zh-CN"/>
        </w:rPr>
        <w:t>二</w:t>
      </w:r>
      <w:r>
        <w:rPr>
          <w:rFonts w:hint="default" w:ascii="Times New Roman" w:hAnsi="Times New Roman" w:eastAsia="黑体" w:cs="Times New Roman"/>
          <w:b/>
          <w:sz w:val="28"/>
          <w:szCs w:val="28"/>
          <w:lang w:val="en-US" w:eastAsia="zh-CN"/>
        </w:rPr>
        <w:t>、项目概况</w:t>
      </w:r>
      <w:bookmarkEnd w:id="196"/>
      <w:bookmarkEnd w:id="197"/>
    </w:p>
    <w:p>
      <w:pPr>
        <w:keepNext/>
        <w:keepLines/>
        <w:pageBreakBefore w:val="0"/>
        <w:widowControl w:val="0"/>
        <w:kinsoku/>
        <w:wordWrap/>
        <w:overflowPunct/>
        <w:topLinePunct w:val="0"/>
        <w:autoSpaceDE/>
        <w:autoSpaceDN/>
        <w:bidi w:val="0"/>
        <w:spacing w:before="0" w:after="0" w:line="500" w:lineRule="exact"/>
        <w:ind w:firstLine="482" w:firstLineChars="200"/>
        <w:jc w:val="both"/>
        <w:outlineLvl w:val="1"/>
        <w:rPr>
          <w:rFonts w:hint="default" w:ascii="Times New Roman" w:hAnsi="Times New Roman" w:eastAsia="宋体" w:cs="Times New Roman"/>
          <w:b/>
          <w:bCs/>
          <w:kern w:val="2"/>
          <w:sz w:val="24"/>
          <w:szCs w:val="24"/>
          <w:lang w:val="en-US" w:eastAsia="zh-CN" w:bidi="ar-SA"/>
        </w:rPr>
      </w:pPr>
      <w:bookmarkStart w:id="200" w:name="_Toc24242"/>
      <w:r>
        <w:rPr>
          <w:rFonts w:hint="eastAsia" w:ascii="Times New Roman" w:hAnsi="Times New Roman" w:eastAsia="宋体" w:cs="Times New Roman"/>
          <w:b/>
          <w:bCs/>
          <w:kern w:val="2"/>
          <w:sz w:val="24"/>
          <w:szCs w:val="24"/>
          <w:lang w:val="en-US" w:eastAsia="zh-CN" w:bidi="ar-SA"/>
        </w:rPr>
        <w:t>1、项目概况</w:t>
      </w:r>
      <w:bookmarkEnd w:id="200"/>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000000"/>
          <w:kern w:val="2"/>
          <w:sz w:val="24"/>
          <w:szCs w:val="24"/>
          <w:lang w:val="en-US" w:eastAsia="zh-CN" w:bidi="ar"/>
        </w:rPr>
      </w:pPr>
      <w:r>
        <w:rPr>
          <w:rFonts w:hint="eastAsia" w:cs="Times New Roman"/>
          <w:b w:val="0"/>
          <w:bCs w:val="0"/>
          <w:color w:val="000000"/>
          <w:kern w:val="2"/>
          <w:sz w:val="24"/>
          <w:szCs w:val="24"/>
          <w:lang w:val="en-US" w:eastAsia="zh-CN" w:bidi="ar"/>
        </w:rPr>
        <w:t>1）</w:t>
      </w:r>
      <w:r>
        <w:rPr>
          <w:rFonts w:hint="eastAsia" w:ascii="Times New Roman" w:hAnsi="Times New Roman" w:cs="Times New Roman"/>
          <w:b w:val="0"/>
          <w:bCs w:val="0"/>
          <w:color w:val="000000"/>
          <w:kern w:val="2"/>
          <w:sz w:val="24"/>
          <w:szCs w:val="24"/>
          <w:lang w:val="en-US" w:eastAsia="zh-CN" w:bidi="ar"/>
        </w:rPr>
        <w:t>项目名称：中国中煤能源集团有限公司智能管控中心改造EPC项目。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000000"/>
          <w:kern w:val="2"/>
          <w:sz w:val="24"/>
          <w:szCs w:val="24"/>
          <w:lang w:val="en-US" w:eastAsia="zh-CN" w:bidi="ar"/>
        </w:rPr>
      </w:pPr>
      <w:r>
        <w:rPr>
          <w:rFonts w:hint="eastAsia" w:cs="Times New Roman"/>
          <w:b w:val="0"/>
          <w:bCs w:val="0"/>
          <w:color w:val="000000"/>
          <w:kern w:val="2"/>
          <w:sz w:val="24"/>
          <w:szCs w:val="24"/>
          <w:lang w:val="en-US" w:eastAsia="zh-CN" w:bidi="ar"/>
        </w:rPr>
        <w:t>2）</w:t>
      </w:r>
      <w:r>
        <w:rPr>
          <w:rFonts w:hint="eastAsia" w:ascii="Times New Roman" w:hAnsi="Times New Roman" w:cs="Times New Roman"/>
          <w:b w:val="0"/>
          <w:bCs w:val="0"/>
          <w:color w:val="000000"/>
          <w:kern w:val="2"/>
          <w:sz w:val="24"/>
          <w:szCs w:val="24"/>
          <w:lang w:val="en-US" w:eastAsia="zh-CN" w:bidi="ar"/>
        </w:rPr>
        <w:t>工程范围：本招标技术规格书范围为：智能管控中心控制机房服务器机柜、封闭冷通道、列头柜、列间精密空调、模块化UPS、铅酸蓄电池组、互投输入柜、UPS输出柜、管理系统的设备采购、安装调试及系统集成。同时，支撑“智控”项目落地，作为智控平台展示窗口，完全适配智控平台的可视化展现需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000000"/>
          <w:kern w:val="2"/>
          <w:sz w:val="24"/>
          <w:szCs w:val="24"/>
          <w:lang w:val="en-US" w:eastAsia="zh-CN" w:bidi="ar"/>
        </w:rPr>
      </w:pPr>
      <w:r>
        <w:rPr>
          <w:rFonts w:hint="eastAsia" w:cs="Times New Roman"/>
          <w:b w:val="0"/>
          <w:bCs w:val="0"/>
          <w:color w:val="000000"/>
          <w:kern w:val="2"/>
          <w:sz w:val="24"/>
          <w:szCs w:val="24"/>
          <w:lang w:val="en-US" w:eastAsia="zh-CN" w:bidi="ar"/>
        </w:rPr>
        <w:t>3）</w:t>
      </w:r>
      <w:r>
        <w:rPr>
          <w:rFonts w:hint="eastAsia" w:ascii="Times New Roman" w:hAnsi="Times New Roman" w:cs="Times New Roman"/>
          <w:b w:val="0"/>
          <w:bCs w:val="0"/>
          <w:color w:val="000000"/>
          <w:kern w:val="2"/>
          <w:sz w:val="24"/>
          <w:szCs w:val="24"/>
          <w:lang w:val="en-US" w:eastAsia="zh-CN" w:bidi="ar"/>
        </w:rPr>
        <w:t>隶属关系</w:t>
      </w:r>
      <w:r>
        <w:rPr>
          <w:rFonts w:hint="eastAsia" w:cs="Times New Roman"/>
          <w:b w:val="0"/>
          <w:bCs w:val="0"/>
          <w:color w:val="000000"/>
          <w:kern w:val="2"/>
          <w:sz w:val="24"/>
          <w:szCs w:val="24"/>
          <w:lang w:val="en-US" w:eastAsia="zh-CN" w:bidi="ar"/>
        </w:rPr>
        <w:t>：</w:t>
      </w:r>
      <w:r>
        <w:rPr>
          <w:rFonts w:hint="eastAsia" w:ascii="Times New Roman" w:hAnsi="Times New Roman" w:cs="Times New Roman"/>
          <w:b w:val="0"/>
          <w:bCs w:val="0"/>
          <w:color w:val="000000"/>
          <w:kern w:val="2"/>
          <w:sz w:val="24"/>
          <w:szCs w:val="24"/>
          <w:lang w:val="en-US" w:eastAsia="zh-CN" w:bidi="ar"/>
        </w:rPr>
        <w:t>本项目隶属于</w:t>
      </w:r>
      <w:r>
        <w:rPr>
          <w:rFonts w:hint="eastAsia" w:ascii="Times New Roman" w:hAnsi="Times New Roman" w:eastAsia="宋体" w:cs="Times New Roman"/>
          <w:color w:val="000000"/>
          <w:sz w:val="24"/>
          <w:szCs w:val="20"/>
          <w:lang w:val="en-US" w:eastAsia="zh-CN"/>
        </w:rPr>
        <w:t>中国中煤能源集团有限公司</w:t>
      </w:r>
      <w:r>
        <w:rPr>
          <w:rFonts w:hint="eastAsia" w:ascii="Times New Roman" w:hAnsi="Times New Roman" w:cs="Times New Roman"/>
          <w:b w:val="0"/>
          <w:bCs w:val="0"/>
          <w:color w:val="000000"/>
          <w:kern w:val="2"/>
          <w:sz w:val="24"/>
          <w:szCs w:val="24"/>
          <w:lang w:val="en-US" w:eastAsia="zh-CN" w:bidi="ar"/>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000000"/>
          <w:kern w:val="2"/>
          <w:sz w:val="24"/>
          <w:szCs w:val="24"/>
          <w:lang w:val="en-US" w:eastAsia="zh-CN" w:bidi="ar"/>
        </w:rPr>
      </w:pPr>
      <w:r>
        <w:rPr>
          <w:rFonts w:hint="eastAsia" w:cs="Times New Roman"/>
          <w:b w:val="0"/>
          <w:bCs w:val="0"/>
          <w:color w:val="000000"/>
          <w:kern w:val="2"/>
          <w:sz w:val="24"/>
          <w:szCs w:val="24"/>
          <w:lang w:val="en-US" w:eastAsia="zh-CN" w:bidi="ar"/>
        </w:rPr>
        <w:t>4）</w:t>
      </w:r>
      <w:r>
        <w:rPr>
          <w:rFonts w:hint="eastAsia" w:ascii="Times New Roman" w:hAnsi="Times New Roman" w:cs="Times New Roman"/>
          <w:b w:val="0"/>
          <w:bCs w:val="0"/>
          <w:color w:val="000000"/>
          <w:kern w:val="2"/>
          <w:sz w:val="24"/>
          <w:szCs w:val="24"/>
          <w:lang w:val="en-US" w:eastAsia="zh-CN" w:bidi="ar"/>
        </w:rPr>
        <w:t>项目所在位置</w:t>
      </w:r>
      <w:r>
        <w:rPr>
          <w:rFonts w:hint="eastAsia" w:cs="Times New Roman"/>
          <w:b w:val="0"/>
          <w:bCs w:val="0"/>
          <w:color w:val="000000"/>
          <w:kern w:val="2"/>
          <w:sz w:val="24"/>
          <w:szCs w:val="24"/>
          <w:lang w:val="en-US" w:eastAsia="zh-CN" w:bidi="ar"/>
        </w:rPr>
        <w:t>：</w:t>
      </w:r>
      <w:r>
        <w:rPr>
          <w:rFonts w:hint="eastAsia" w:ascii="Times New Roman" w:hAnsi="Times New Roman" w:eastAsia="宋体" w:cs="Times New Roman"/>
          <w:color w:val="000000"/>
          <w:sz w:val="24"/>
          <w:szCs w:val="20"/>
          <w:lang w:val="en-US" w:eastAsia="zh-CN"/>
        </w:rPr>
        <w:t>本项目位于北京市朝阳区</w:t>
      </w:r>
      <w:r>
        <w:rPr>
          <w:rFonts w:hint="default" w:ascii="Times New Roman" w:hAnsi="Times New Roman" w:eastAsia="宋体" w:cs="Times New Roman"/>
          <w:color w:val="000000"/>
          <w:sz w:val="24"/>
          <w:szCs w:val="24"/>
          <w:lang w:val="en-US" w:eastAsia="zh-CN"/>
        </w:rPr>
        <w:t>龙德行大厦二层</w:t>
      </w:r>
      <w:r>
        <w:rPr>
          <w:rFonts w:hint="eastAsia" w:ascii="Times New Roman" w:hAnsi="Times New Roman" w:cs="Times New Roman"/>
          <w:b w:val="0"/>
          <w:bCs w:val="0"/>
          <w:color w:val="000000"/>
          <w:kern w:val="2"/>
          <w:sz w:val="24"/>
          <w:szCs w:val="24"/>
          <w:lang w:val="en-US" w:eastAsia="zh-CN" w:bidi="ar"/>
        </w:rPr>
        <w:t>。</w:t>
      </w:r>
    </w:p>
    <w:p>
      <w:pPr>
        <w:keepNext/>
        <w:keepLines/>
        <w:pageBreakBefore w:val="0"/>
        <w:widowControl w:val="0"/>
        <w:kinsoku/>
        <w:wordWrap/>
        <w:overflowPunct/>
        <w:topLinePunct w:val="0"/>
        <w:autoSpaceDE/>
        <w:autoSpaceDN/>
        <w:bidi w:val="0"/>
        <w:spacing w:before="0" w:after="0" w:line="500" w:lineRule="exact"/>
        <w:ind w:firstLine="482" w:firstLineChars="200"/>
        <w:jc w:val="both"/>
        <w:outlineLvl w:val="1"/>
        <w:rPr>
          <w:rFonts w:hint="default" w:ascii="Times New Roman" w:hAnsi="Times New Roman" w:eastAsia="宋体" w:cs="Times New Roman"/>
          <w:b/>
          <w:bCs/>
          <w:kern w:val="2"/>
          <w:sz w:val="24"/>
          <w:szCs w:val="24"/>
          <w:lang w:val="en-US" w:eastAsia="zh-CN" w:bidi="ar-SA"/>
        </w:rPr>
      </w:pPr>
      <w:bookmarkStart w:id="201" w:name="_Toc28812"/>
      <w:r>
        <w:rPr>
          <w:rFonts w:hint="eastAsia" w:ascii="Times New Roman" w:hAnsi="Times New Roman" w:eastAsia="宋体" w:cs="Times New Roman"/>
          <w:b/>
          <w:bCs/>
          <w:kern w:val="2"/>
          <w:sz w:val="24"/>
          <w:szCs w:val="24"/>
          <w:lang w:val="en-US" w:eastAsia="zh-CN" w:bidi="ar-SA"/>
        </w:rPr>
        <w:t>2、建设目标</w:t>
      </w:r>
      <w:bookmarkEnd w:id="201"/>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auto"/>
          <w:kern w:val="2"/>
          <w:sz w:val="24"/>
          <w:szCs w:val="24"/>
          <w:lang w:val="en-US" w:eastAsia="zh-CN" w:bidi="ar"/>
        </w:rPr>
      </w:pPr>
      <w:r>
        <w:rPr>
          <w:rFonts w:hint="eastAsia" w:cs="Times New Roman"/>
          <w:b w:val="0"/>
          <w:bCs w:val="0"/>
          <w:color w:val="auto"/>
          <w:kern w:val="2"/>
          <w:sz w:val="24"/>
          <w:szCs w:val="24"/>
          <w:lang w:val="en-US" w:eastAsia="zh-CN" w:bidi="ar"/>
        </w:rPr>
        <w:t>1）</w:t>
      </w:r>
      <w:r>
        <w:rPr>
          <w:rFonts w:hint="eastAsia" w:ascii="Times New Roman" w:hAnsi="Times New Roman" w:cs="Times New Roman"/>
          <w:b w:val="0"/>
          <w:bCs w:val="0"/>
          <w:color w:val="auto"/>
          <w:kern w:val="2"/>
          <w:sz w:val="24"/>
          <w:szCs w:val="24"/>
          <w:lang w:val="en-US" w:eastAsia="zh-CN" w:bidi="ar"/>
        </w:rPr>
        <w:t>打造央企总部管控中心，提升央企形象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auto"/>
          <w:kern w:val="2"/>
          <w:sz w:val="24"/>
          <w:szCs w:val="24"/>
          <w:lang w:val="en-US" w:eastAsia="zh-CN" w:bidi="ar"/>
        </w:rPr>
      </w:pPr>
      <w:r>
        <w:rPr>
          <w:rFonts w:hint="eastAsia" w:ascii="Times New Roman" w:hAnsi="Times New Roman" w:cs="Times New Roman"/>
          <w:b w:val="0"/>
          <w:bCs w:val="0"/>
          <w:color w:val="auto"/>
          <w:kern w:val="2"/>
          <w:sz w:val="24"/>
          <w:szCs w:val="24"/>
          <w:lang w:val="en-US" w:eastAsia="zh-CN" w:bidi="ar"/>
        </w:rPr>
        <w:t>打造现代化、智能化的中国中煤总部生产、运营、应急、管理一体化智能管控中心，进一步提升中国中煤的央企形象。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auto"/>
          <w:kern w:val="2"/>
          <w:sz w:val="24"/>
          <w:szCs w:val="24"/>
          <w:lang w:val="en-US" w:eastAsia="zh-CN" w:bidi="ar"/>
        </w:rPr>
      </w:pPr>
      <w:r>
        <w:rPr>
          <w:rFonts w:hint="eastAsia" w:cs="Times New Roman"/>
          <w:b w:val="0"/>
          <w:bCs w:val="0"/>
          <w:color w:val="auto"/>
          <w:kern w:val="2"/>
          <w:sz w:val="24"/>
          <w:szCs w:val="24"/>
          <w:lang w:val="en-US" w:eastAsia="zh-CN" w:bidi="ar"/>
        </w:rPr>
        <w:t>2）</w:t>
      </w:r>
      <w:r>
        <w:rPr>
          <w:rFonts w:hint="eastAsia" w:ascii="Times New Roman" w:hAnsi="Times New Roman" w:cs="Times New Roman"/>
          <w:b w:val="0"/>
          <w:bCs w:val="0"/>
          <w:color w:val="auto"/>
          <w:kern w:val="2"/>
          <w:sz w:val="24"/>
          <w:szCs w:val="24"/>
          <w:lang w:val="en-US" w:eastAsia="zh-CN" w:bidi="ar"/>
        </w:rPr>
        <w:t>打造对外宣传和成果展示的重要窗口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auto"/>
          <w:kern w:val="2"/>
          <w:sz w:val="24"/>
          <w:szCs w:val="24"/>
          <w:lang w:val="en-US" w:eastAsia="zh-CN" w:bidi="ar"/>
        </w:rPr>
      </w:pPr>
      <w:r>
        <w:rPr>
          <w:rFonts w:hint="eastAsia" w:ascii="Times New Roman" w:hAnsi="Times New Roman" w:cs="Times New Roman"/>
          <w:b w:val="0"/>
          <w:bCs w:val="0"/>
          <w:color w:val="auto"/>
          <w:kern w:val="2"/>
          <w:sz w:val="24"/>
          <w:szCs w:val="24"/>
          <w:lang w:val="en-US" w:eastAsia="zh-CN" w:bidi="ar"/>
        </w:rPr>
        <w:t>智能管控中心打破传统调度中心的设计理念，采用“行方智圆，聚合意识”、“方圆间、管控一片天地”的设计理念。首次在调度中心采用滑轨屏设计理念，实现屏幕的自动分离和聚合，适配智控大厅不同场景的展示需要，打造中国中煤对外宣传和成果展示的重要窗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auto"/>
          <w:kern w:val="2"/>
          <w:sz w:val="24"/>
          <w:szCs w:val="24"/>
          <w:lang w:val="en-US" w:eastAsia="zh-CN" w:bidi="ar"/>
        </w:rPr>
      </w:pPr>
      <w:r>
        <w:rPr>
          <w:rFonts w:hint="eastAsia" w:cs="Times New Roman"/>
          <w:b w:val="0"/>
          <w:bCs w:val="0"/>
          <w:color w:val="auto"/>
          <w:kern w:val="2"/>
          <w:sz w:val="24"/>
          <w:szCs w:val="24"/>
          <w:lang w:val="en-US" w:eastAsia="zh-CN" w:bidi="ar"/>
        </w:rPr>
        <w:t>3）</w:t>
      </w:r>
      <w:r>
        <w:rPr>
          <w:rFonts w:hint="eastAsia" w:ascii="Times New Roman" w:hAnsi="Times New Roman" w:cs="Times New Roman"/>
          <w:b w:val="0"/>
          <w:bCs w:val="0"/>
          <w:color w:val="auto"/>
          <w:kern w:val="2"/>
          <w:sz w:val="24"/>
          <w:szCs w:val="24"/>
          <w:lang w:val="en-US" w:eastAsia="zh-CN" w:bidi="ar"/>
        </w:rPr>
        <w:t>为集团高质量推进“两个联营+”，提供技术支撑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cs="Times New Roman"/>
          <w:b w:val="0"/>
          <w:bCs w:val="0"/>
          <w:color w:val="auto"/>
          <w:kern w:val="2"/>
          <w:sz w:val="24"/>
          <w:szCs w:val="24"/>
          <w:lang w:val="en-US" w:eastAsia="zh-CN" w:bidi="ar"/>
        </w:rPr>
      </w:pPr>
      <w:r>
        <w:rPr>
          <w:rFonts w:hint="eastAsia" w:ascii="Times New Roman" w:hAnsi="Times New Roman" w:cs="Times New Roman"/>
          <w:b w:val="0"/>
          <w:bCs w:val="0"/>
          <w:color w:val="auto"/>
          <w:kern w:val="2"/>
          <w:sz w:val="24"/>
          <w:szCs w:val="24"/>
          <w:lang w:val="en-US" w:eastAsia="zh-CN" w:bidi="ar"/>
        </w:rPr>
        <w:t>智能管控中心作为中国中煤生产、运营大脑，汇集了集团全产业链的生产数据，为加快推进“两个联营+”提供技术支撑，为实现“资源侧、市场侧”的耦合发展提供技术支撑及可视化展示平台。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eastAsia="宋体" w:cs="Times New Roman"/>
          <w:b w:val="0"/>
          <w:bCs w:val="0"/>
          <w:color w:val="000000"/>
          <w:kern w:val="2"/>
          <w:sz w:val="24"/>
          <w:szCs w:val="24"/>
          <w:lang w:val="en-US" w:eastAsia="zh-CN" w:bidi="ar"/>
        </w:rPr>
      </w:pPr>
      <w:r>
        <w:rPr>
          <w:rFonts w:hint="eastAsia" w:cs="Times New Roman"/>
          <w:b w:val="0"/>
          <w:bCs w:val="0"/>
          <w:color w:val="auto"/>
          <w:kern w:val="2"/>
          <w:sz w:val="24"/>
          <w:szCs w:val="24"/>
          <w:lang w:val="en-US" w:eastAsia="zh-CN" w:bidi="ar"/>
        </w:rPr>
        <w:t>4）</w:t>
      </w:r>
      <w:r>
        <w:rPr>
          <w:rFonts w:hint="eastAsia" w:ascii="Times New Roman" w:hAnsi="Times New Roman" w:eastAsia="宋体" w:cs="Times New Roman"/>
          <w:b w:val="0"/>
          <w:bCs w:val="0"/>
          <w:color w:val="000000"/>
          <w:kern w:val="2"/>
          <w:sz w:val="24"/>
          <w:szCs w:val="24"/>
          <w:lang w:val="en-US" w:eastAsia="zh-CN" w:bidi="ar"/>
        </w:rPr>
        <w:t>支撑“智控”项目落地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right="0" w:rightChars="0" w:firstLine="480" w:firstLineChars="200"/>
        <w:jc w:val="both"/>
        <w:textAlignment w:val="auto"/>
        <w:outlineLvl w:val="9"/>
        <w:rPr>
          <w:rFonts w:hint="eastAsia" w:ascii="Times New Roman" w:hAnsi="Times New Roman" w:eastAsia="宋体" w:cs="Times New Roman"/>
          <w:b w:val="0"/>
          <w:bCs w:val="0"/>
          <w:color w:val="000000"/>
          <w:kern w:val="2"/>
          <w:sz w:val="24"/>
          <w:szCs w:val="24"/>
          <w:lang w:val="en-US" w:eastAsia="zh-CN" w:bidi="ar"/>
        </w:rPr>
      </w:pPr>
      <w:r>
        <w:rPr>
          <w:rFonts w:hint="eastAsia" w:ascii="Times New Roman" w:hAnsi="Times New Roman" w:eastAsia="宋体" w:cs="Times New Roman"/>
          <w:b w:val="0"/>
          <w:bCs w:val="0"/>
          <w:color w:val="000000"/>
          <w:kern w:val="2"/>
          <w:sz w:val="24"/>
          <w:szCs w:val="24"/>
          <w:lang w:val="en-US" w:eastAsia="zh-CN" w:bidi="ar"/>
        </w:rPr>
        <w:t>智能管控中心建设以支撑“智控”项目落地，打造智控平台展示窗口为前提，以适配智控平台智能决策及不同场景的可视化展现为目标，助力“数字中煤”建设，全面提升管控数字化、生产智能化、业务协同化、产业生态化、数据资产化水平。</w:t>
      </w:r>
    </w:p>
    <w:p>
      <w:pPr>
        <w:pageBreakBefore w:val="0"/>
        <w:widowControl w:val="0"/>
        <w:kinsoku/>
        <w:wordWrap/>
        <w:overflowPunct/>
        <w:topLinePunct w:val="0"/>
        <w:autoSpaceDE/>
        <w:autoSpaceDN/>
        <w:bidi w:val="0"/>
        <w:spacing w:before="120" w:beforeLines="50" w:after="120" w:afterLines="50" w:line="500" w:lineRule="exact"/>
        <w:outlineLvl w:val="0"/>
        <w:rPr>
          <w:rFonts w:hint="default" w:eastAsia="黑体"/>
          <w:b/>
          <w:sz w:val="28"/>
          <w:szCs w:val="28"/>
          <w:lang w:val="en-US" w:eastAsia="zh-CN"/>
        </w:rPr>
      </w:pPr>
      <w:bookmarkStart w:id="202" w:name="_Toc6046"/>
      <w:r>
        <w:rPr>
          <w:rFonts w:hint="eastAsia" w:eastAsia="黑体"/>
          <w:b/>
          <w:sz w:val="28"/>
          <w:szCs w:val="28"/>
        </w:rPr>
        <w:t>三、</w:t>
      </w:r>
      <w:bookmarkEnd w:id="198"/>
      <w:bookmarkEnd w:id="199"/>
      <w:r>
        <w:rPr>
          <w:rFonts w:hint="eastAsia" w:eastAsia="黑体"/>
          <w:b/>
          <w:sz w:val="28"/>
          <w:szCs w:val="28"/>
          <w:lang w:val="en-US" w:eastAsia="zh-CN"/>
        </w:rPr>
        <w:t>建设条件及总体要求</w:t>
      </w:r>
      <w:bookmarkEnd w:id="202"/>
    </w:p>
    <w:p>
      <w:pPr>
        <w:keepNext/>
        <w:keepLines/>
        <w:pageBreakBefore w:val="0"/>
        <w:widowControl w:val="0"/>
        <w:kinsoku/>
        <w:wordWrap/>
        <w:overflowPunct/>
        <w:topLinePunct w:val="0"/>
        <w:autoSpaceDE/>
        <w:autoSpaceDN/>
        <w:bidi w:val="0"/>
        <w:spacing w:before="0" w:after="0" w:line="500" w:lineRule="exact"/>
        <w:ind w:firstLine="482" w:firstLineChars="200"/>
        <w:jc w:val="both"/>
        <w:outlineLvl w:val="1"/>
        <w:rPr>
          <w:rFonts w:hint="default" w:ascii="Times New Roman" w:hAnsi="Times New Roman" w:eastAsia="宋体" w:cs="Times New Roman"/>
          <w:b/>
          <w:bCs/>
          <w:kern w:val="2"/>
          <w:sz w:val="24"/>
          <w:szCs w:val="24"/>
          <w:lang w:val="en-US" w:eastAsia="zh-CN" w:bidi="ar-SA"/>
        </w:rPr>
      </w:pPr>
      <w:bookmarkStart w:id="203" w:name="_Toc13882"/>
      <w:r>
        <w:rPr>
          <w:rFonts w:hint="eastAsia" w:cs="Times New Roman"/>
          <w:b/>
          <w:bCs/>
          <w:kern w:val="2"/>
          <w:sz w:val="24"/>
          <w:szCs w:val="24"/>
          <w:lang w:val="en-US" w:eastAsia="zh-CN" w:bidi="ar-SA"/>
        </w:rPr>
        <w:t>1、建设条件</w:t>
      </w:r>
      <w:bookmarkEnd w:id="203"/>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eastAsia" w:ascii="Times New Roman" w:hAnsi="Times New Roman" w:eastAsia="宋体" w:cs="Times New Roman"/>
          <w:color w:val="000000"/>
          <w:sz w:val="24"/>
          <w:szCs w:val="20"/>
          <w:highlight w:val="none"/>
          <w:lang w:val="en-US" w:eastAsia="zh-CN"/>
        </w:rPr>
      </w:pPr>
      <w:r>
        <w:rPr>
          <w:rFonts w:hint="eastAsia" w:ascii="Times New Roman" w:hAnsi="Times New Roman" w:eastAsia="宋体" w:cs="Times New Roman"/>
          <w:color w:val="000000"/>
          <w:sz w:val="24"/>
          <w:szCs w:val="20"/>
          <w:highlight w:val="none"/>
          <w:lang w:val="en-US" w:eastAsia="zh-CN"/>
        </w:rPr>
        <w:t>1）建设地点</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default" w:ascii="Times New Roman" w:hAnsi="Times New Roman" w:cs="Times New Roman"/>
          <w:color w:val="000000"/>
          <w:sz w:val="24"/>
          <w:szCs w:val="20"/>
          <w:lang w:val="en-US" w:eastAsia="zh-CN"/>
        </w:rPr>
      </w:pPr>
      <w:r>
        <w:rPr>
          <w:rFonts w:hint="eastAsia" w:ascii="Times New Roman" w:hAnsi="Times New Roman" w:cs="Times New Roman"/>
          <w:color w:val="000000"/>
          <w:sz w:val="24"/>
          <w:szCs w:val="20"/>
          <w:lang w:val="en-US" w:eastAsia="zh-CN"/>
        </w:rPr>
        <w:t>本项目位于</w:t>
      </w:r>
      <w:r>
        <w:rPr>
          <w:rFonts w:hint="eastAsia" w:ascii="Times New Roman" w:hAnsi="Times New Roman" w:eastAsia="宋体" w:cs="Times New Roman"/>
          <w:color w:val="000000"/>
          <w:sz w:val="24"/>
          <w:szCs w:val="20"/>
          <w:highlight w:val="none"/>
          <w:lang w:val="en-US" w:eastAsia="zh-CN"/>
        </w:rPr>
        <w:t>北京市朝阳区黄寺大街</w:t>
      </w:r>
      <w:r>
        <w:rPr>
          <w:rFonts w:hint="default" w:ascii="Times New Roman" w:hAnsi="Times New Roman" w:cs="Times New Roman"/>
          <w:color w:val="000000"/>
          <w:sz w:val="24"/>
          <w:szCs w:val="20"/>
          <w:lang w:val="en-US" w:eastAsia="zh-CN"/>
        </w:rPr>
        <w:t>龙德行大厦二层</w:t>
      </w:r>
      <w:r>
        <w:rPr>
          <w:rFonts w:hint="eastAsia" w:ascii="Times New Roman" w:hAnsi="Times New Roman" w:eastAsia="宋体" w:cs="Times New Roman"/>
          <w:color w:val="000000"/>
          <w:sz w:val="24"/>
          <w:szCs w:val="20"/>
          <w:lang w:val="en-US" w:eastAsia="zh-CN"/>
        </w:rPr>
        <w:t>，原用途为办公用房，</w:t>
      </w:r>
      <w:r>
        <w:rPr>
          <w:rFonts w:hint="eastAsia" w:ascii="Times New Roman" w:hAnsi="Times New Roman" w:eastAsia="宋体" w:cs="Times New Roman"/>
          <w:color w:val="000000"/>
          <w:sz w:val="24"/>
          <w:szCs w:val="24"/>
          <w:lang w:val="en-US" w:eastAsia="zh-CN"/>
        </w:rPr>
        <w:t>建筑整体平面尺寸为42m×42m，总建筑面积1750m²。建筑层高4.5m，梁下净高3.6m，局部梁下最小净高3.25m</w:t>
      </w:r>
      <w:r>
        <w:rPr>
          <w:rFonts w:hint="default" w:ascii="Times New Roman" w:hAnsi="Times New Roman" w:cs="Times New Roman"/>
          <w:color w:val="000000"/>
          <w:sz w:val="24"/>
          <w:szCs w:val="20"/>
          <w:lang w:val="en-US" w:eastAsia="zh-CN"/>
        </w:rPr>
        <w:t>。</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龙德行大厦建成时间约为2003至2004年间，建筑结构形式为钢筋混凝土框架剪力墙结构，</w:t>
      </w:r>
      <w:r>
        <w:rPr>
          <w:rFonts w:hint="default" w:ascii="Times New Roman" w:hAnsi="Times New Roman" w:eastAsia="宋体" w:cs="Times New Roman"/>
          <w:color w:val="000000"/>
          <w:sz w:val="24"/>
          <w:szCs w:val="20"/>
          <w:lang w:val="en-US" w:eastAsia="zh-CN"/>
        </w:rPr>
        <w:t>二层楼板为现浇实心的钢筋混凝土楼</w:t>
      </w:r>
      <w:r>
        <w:rPr>
          <w:rFonts w:hint="eastAsia" w:ascii="Times New Roman" w:hAnsi="Times New Roman" w:eastAsia="宋体" w:cs="Times New Roman"/>
          <w:color w:val="000000"/>
          <w:sz w:val="24"/>
          <w:szCs w:val="20"/>
          <w:lang w:val="en-US" w:eastAsia="zh-CN"/>
        </w:rPr>
        <w:t>板，梁板形式。</w:t>
      </w:r>
      <w:r>
        <w:rPr>
          <w:rFonts w:hint="default" w:ascii="Times New Roman" w:hAnsi="Times New Roman" w:eastAsia="宋体" w:cs="Times New Roman"/>
          <w:color w:val="000000"/>
          <w:sz w:val="24"/>
          <w:szCs w:val="20"/>
          <w:lang w:val="en-US" w:eastAsia="zh-CN"/>
        </w:rPr>
        <w:t>根据《建筑抗震设计规范》GB50011-2010</w:t>
      </w:r>
      <w:r>
        <w:rPr>
          <w:rFonts w:hint="eastAsia" w:ascii="Times New Roman" w:hAnsi="Times New Roman" w:eastAsia="宋体" w:cs="Times New Roman"/>
          <w:color w:val="000000"/>
          <w:sz w:val="24"/>
          <w:szCs w:val="20"/>
          <w:lang w:val="en-US" w:eastAsia="zh-CN"/>
        </w:rPr>
        <w:t>（</w:t>
      </w:r>
      <w:r>
        <w:rPr>
          <w:rFonts w:hint="default" w:ascii="Times New Roman" w:hAnsi="Times New Roman" w:eastAsia="宋体" w:cs="Times New Roman"/>
          <w:color w:val="000000"/>
          <w:sz w:val="24"/>
          <w:szCs w:val="20"/>
          <w:lang w:val="en-US" w:eastAsia="zh-CN"/>
        </w:rPr>
        <w:t>2016年版），本场区所处地区抗震设防烈度8度，设计基本地震加速度值为0.20g，第</w:t>
      </w:r>
      <w:r>
        <w:rPr>
          <w:rFonts w:hint="eastAsia" w:ascii="Times New Roman" w:hAnsi="Times New Roman" w:eastAsia="宋体" w:cs="Times New Roman"/>
          <w:color w:val="000000"/>
          <w:sz w:val="24"/>
          <w:szCs w:val="20"/>
          <w:lang w:val="en-US" w:eastAsia="zh-CN"/>
        </w:rPr>
        <w:t>二</w:t>
      </w:r>
      <w:r>
        <w:rPr>
          <w:rFonts w:hint="default" w:ascii="Times New Roman" w:hAnsi="Times New Roman" w:eastAsia="宋体" w:cs="Times New Roman"/>
          <w:color w:val="000000"/>
          <w:sz w:val="24"/>
          <w:szCs w:val="20"/>
          <w:lang w:val="en-US" w:eastAsia="zh-CN"/>
        </w:rPr>
        <w:t>组。</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eastAsia" w:ascii="Times New Roman" w:hAnsi="Times New Roman" w:eastAsia="宋体" w:cs="Times New Roman"/>
          <w:color w:val="000000"/>
          <w:sz w:val="24"/>
          <w:szCs w:val="20"/>
          <w:highlight w:val="none"/>
          <w:lang w:val="en-US" w:eastAsia="zh-CN"/>
        </w:rPr>
      </w:pPr>
      <w:r>
        <w:rPr>
          <w:rFonts w:hint="eastAsia" w:ascii="Times New Roman" w:hAnsi="Times New Roman" w:eastAsia="宋体" w:cs="Times New Roman"/>
          <w:color w:val="000000"/>
          <w:sz w:val="24"/>
          <w:szCs w:val="20"/>
          <w:highlight w:val="none"/>
          <w:lang w:val="en-US" w:eastAsia="zh-CN"/>
        </w:rPr>
        <w:t>2）周边条件</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eastAsia" w:ascii="Times New Roman" w:hAnsi="Times New Roman" w:eastAsia="宋体" w:cs="Times New Roman"/>
          <w:color w:val="000000"/>
          <w:sz w:val="24"/>
          <w:szCs w:val="20"/>
          <w:highlight w:val="none"/>
          <w:lang w:val="en-US" w:eastAsia="zh-CN"/>
        </w:rPr>
      </w:pPr>
      <w:r>
        <w:rPr>
          <w:rFonts w:hint="eastAsia" w:ascii="Times New Roman" w:hAnsi="Times New Roman" w:eastAsia="宋体" w:cs="Times New Roman"/>
          <w:color w:val="000000"/>
          <w:sz w:val="24"/>
          <w:szCs w:val="24"/>
          <w:highlight w:val="none"/>
          <w:lang w:val="en-US" w:eastAsia="zh-CN"/>
        </w:rPr>
        <w:t>龙德行大厦</w:t>
      </w:r>
      <w:r>
        <w:rPr>
          <w:rFonts w:hint="eastAsia" w:ascii="Times New Roman" w:hAnsi="Times New Roman" w:eastAsia="宋体" w:cs="Times New Roman"/>
          <w:color w:val="000000"/>
          <w:sz w:val="24"/>
          <w:szCs w:val="20"/>
          <w:highlight w:val="none"/>
          <w:lang w:val="en-US" w:eastAsia="zh-CN"/>
        </w:rPr>
        <w:t>位于北京市朝阳区，黄寺大街和鼓楼外大街交叉口西北角，北二环和北三环之间，周边国家及部委、单位林立，人口稠密、商业发达，离奥运主会场（鸟巢）仅1公里，东侧为龙德行大厦，交通条件便利，自然和人文环境较好。</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default" w:ascii="Times New Roman" w:hAnsi="Times New Roman" w:eastAsia="宋体" w:cs="Times New Roman"/>
          <w:color w:val="000000"/>
          <w:sz w:val="24"/>
          <w:szCs w:val="20"/>
          <w:highlight w:val="none"/>
          <w:lang w:val="en-US" w:eastAsia="zh-CN"/>
        </w:rPr>
      </w:pPr>
      <w:r>
        <w:rPr>
          <w:rFonts w:hint="eastAsia" w:ascii="Times New Roman" w:hAnsi="Times New Roman" w:eastAsia="宋体" w:cs="Times New Roman"/>
          <w:color w:val="000000"/>
          <w:sz w:val="24"/>
          <w:szCs w:val="20"/>
          <w:highlight w:val="none"/>
          <w:lang w:val="en-US" w:eastAsia="zh-CN"/>
        </w:rPr>
        <w:t>3）气候条件</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eastAsia" w:ascii="Times New Roman" w:hAnsi="Times New Roman" w:eastAsia="宋体" w:cs="Times New Roman"/>
          <w:color w:val="000000"/>
          <w:sz w:val="24"/>
          <w:szCs w:val="20"/>
          <w:highlight w:val="none"/>
          <w:lang w:val="en-US" w:eastAsia="zh-CN"/>
        </w:rPr>
      </w:pPr>
      <w:r>
        <w:rPr>
          <w:rFonts w:hint="eastAsia" w:ascii="Times New Roman" w:hAnsi="Times New Roman" w:eastAsia="宋体" w:cs="Times New Roman"/>
          <w:color w:val="000000"/>
          <w:sz w:val="24"/>
          <w:szCs w:val="20"/>
          <w:highlight w:val="none"/>
          <w:lang w:val="en-US" w:eastAsia="zh-CN"/>
        </w:rPr>
        <w:t>北京的气候为典型的</w:t>
      </w:r>
      <w:r>
        <w:rPr>
          <w:rFonts w:hint="eastAsia" w:ascii="Times New Roman" w:hAnsi="Times New Roman" w:eastAsia="宋体" w:cs="Times New Roman"/>
          <w:color w:val="000000"/>
          <w:sz w:val="24"/>
          <w:szCs w:val="20"/>
          <w:highlight w:val="none"/>
          <w:lang w:val="en-US" w:eastAsia="zh-CN"/>
        </w:rPr>
        <w:fldChar w:fldCharType="begin"/>
      </w:r>
      <w:r>
        <w:rPr>
          <w:rFonts w:hint="eastAsia" w:ascii="Times New Roman" w:hAnsi="Times New Roman" w:eastAsia="宋体" w:cs="Times New Roman"/>
          <w:color w:val="000000"/>
          <w:sz w:val="24"/>
          <w:szCs w:val="20"/>
          <w:highlight w:val="none"/>
          <w:lang w:val="en-US" w:eastAsia="zh-CN"/>
        </w:rPr>
        <w:instrText xml:space="preserve"> HYPERLINK "https://baike.so.com/doc/6534588-6748326.html" \t "https://baike.so.com/doc/_blank" </w:instrText>
      </w:r>
      <w:r>
        <w:rPr>
          <w:rFonts w:hint="eastAsia" w:ascii="Times New Roman" w:hAnsi="Times New Roman" w:eastAsia="宋体" w:cs="Times New Roman"/>
          <w:color w:val="000000"/>
          <w:sz w:val="24"/>
          <w:szCs w:val="20"/>
          <w:highlight w:val="none"/>
          <w:lang w:val="en-US" w:eastAsia="zh-CN"/>
        </w:rPr>
        <w:fldChar w:fldCharType="separate"/>
      </w:r>
      <w:r>
        <w:rPr>
          <w:rFonts w:hint="eastAsia" w:ascii="Times New Roman" w:hAnsi="Times New Roman" w:eastAsia="宋体" w:cs="Times New Roman"/>
          <w:color w:val="000000"/>
          <w:sz w:val="24"/>
          <w:szCs w:val="20"/>
          <w:highlight w:val="none"/>
          <w:lang w:val="en-US" w:eastAsia="zh-CN"/>
        </w:rPr>
        <w:t>北温带</w:t>
      </w:r>
      <w:r>
        <w:rPr>
          <w:rFonts w:hint="eastAsia" w:ascii="Times New Roman" w:hAnsi="Times New Roman" w:eastAsia="宋体" w:cs="Times New Roman"/>
          <w:color w:val="000000"/>
          <w:sz w:val="24"/>
          <w:szCs w:val="20"/>
          <w:highlight w:val="none"/>
          <w:lang w:val="en-US" w:eastAsia="zh-CN"/>
        </w:rPr>
        <w:fldChar w:fldCharType="end"/>
      </w:r>
      <w:r>
        <w:rPr>
          <w:rFonts w:hint="eastAsia" w:ascii="Times New Roman" w:hAnsi="Times New Roman" w:eastAsia="宋体" w:cs="Times New Roman"/>
          <w:color w:val="000000"/>
          <w:sz w:val="24"/>
          <w:szCs w:val="20"/>
          <w:highlight w:val="none"/>
          <w:lang w:val="en-US" w:eastAsia="zh-CN"/>
        </w:rPr>
        <w:t>半湿润大陆性季风气候，夏季高温多雨，冬季寒冷干燥，春、秋短促。全年无霜期180～200天，西部山区较短。2007年平均降水量483.9mm，为华北地区降水最多的地区之一。降水季节分配很不均匀，全年降水的80%集中在夏季6、7、8三个月，7、8月有大雨。</w:t>
      </w: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eastAsia" w:ascii="Times New Roman" w:hAnsi="Times New Roman" w:eastAsia="宋体" w:cs="Times New Roman"/>
          <w:color w:val="000000"/>
          <w:sz w:val="24"/>
          <w:szCs w:val="20"/>
          <w:highlight w:val="none"/>
          <w:lang w:val="en-US" w:eastAsia="zh-CN"/>
        </w:rPr>
      </w:pPr>
      <w:r>
        <w:rPr>
          <w:rFonts w:hint="eastAsia" w:ascii="Times New Roman" w:hAnsi="Times New Roman" w:eastAsia="宋体" w:cs="Times New Roman"/>
          <w:color w:val="000000"/>
          <w:sz w:val="24"/>
          <w:szCs w:val="20"/>
          <w:highlight w:val="none"/>
          <w:lang w:val="en-US" w:eastAsia="zh-CN"/>
        </w:rPr>
        <w:t>北京太阳辐射量全年平均为112～136千卡/厘</w:t>
      </w:r>
      <w:r>
        <w:rPr>
          <w:rFonts w:hint="eastAsia" w:ascii="Times New Roman" w:hAnsi="Times New Roman" w:cs="Times New Roman"/>
          <w:color w:val="000000"/>
          <w:sz w:val="24"/>
          <w:szCs w:val="20"/>
          <w:highlight w:val="none"/>
          <w:lang w:val="en-US" w:eastAsia="zh-CN"/>
        </w:rPr>
        <w:t>m</w:t>
      </w:r>
      <w:r>
        <w:rPr>
          <w:rFonts w:hint="eastAsia" w:ascii="Times New Roman" w:hAnsi="Times New Roman" w:eastAsia="宋体" w:cs="Times New Roman"/>
          <w:color w:val="000000"/>
          <w:sz w:val="24"/>
          <w:szCs w:val="20"/>
          <w:highlight w:val="none"/>
          <w:lang w:val="en-US" w:eastAsia="zh-CN"/>
        </w:rPr>
        <w:t>。两个高值区分别分布在</w:t>
      </w:r>
      <w:r>
        <w:rPr>
          <w:rFonts w:hint="eastAsia" w:ascii="Times New Roman" w:hAnsi="Times New Roman" w:eastAsia="宋体" w:cs="Times New Roman"/>
          <w:color w:val="000000"/>
          <w:sz w:val="24"/>
          <w:szCs w:val="20"/>
          <w:highlight w:val="none"/>
          <w:lang w:val="en-US" w:eastAsia="zh-CN"/>
        </w:rPr>
        <w:fldChar w:fldCharType="begin"/>
      </w:r>
      <w:r>
        <w:rPr>
          <w:rFonts w:hint="eastAsia" w:ascii="Times New Roman" w:hAnsi="Times New Roman" w:eastAsia="宋体" w:cs="Times New Roman"/>
          <w:color w:val="000000"/>
          <w:sz w:val="24"/>
          <w:szCs w:val="20"/>
          <w:highlight w:val="none"/>
          <w:lang w:val="en-US" w:eastAsia="zh-CN"/>
        </w:rPr>
        <w:instrText xml:space="preserve"> HYPERLINK "https://baike.so.com/doc/23852742-24409564.html" \t "https://baike.so.com/doc/_blank" </w:instrText>
      </w:r>
      <w:r>
        <w:rPr>
          <w:rFonts w:hint="eastAsia" w:ascii="Times New Roman" w:hAnsi="Times New Roman" w:eastAsia="宋体" w:cs="Times New Roman"/>
          <w:color w:val="000000"/>
          <w:sz w:val="24"/>
          <w:szCs w:val="20"/>
          <w:highlight w:val="none"/>
          <w:lang w:val="en-US" w:eastAsia="zh-CN"/>
        </w:rPr>
        <w:fldChar w:fldCharType="separate"/>
      </w:r>
      <w:r>
        <w:rPr>
          <w:rFonts w:hint="eastAsia" w:ascii="Times New Roman" w:hAnsi="Times New Roman" w:eastAsia="宋体" w:cs="Times New Roman"/>
          <w:color w:val="000000"/>
          <w:sz w:val="24"/>
          <w:szCs w:val="20"/>
          <w:highlight w:val="none"/>
          <w:lang w:val="en-US" w:eastAsia="zh-CN"/>
        </w:rPr>
        <w:t>延庆</w:t>
      </w:r>
      <w:r>
        <w:rPr>
          <w:rFonts w:hint="eastAsia" w:ascii="Times New Roman" w:hAnsi="Times New Roman" w:eastAsia="宋体" w:cs="Times New Roman"/>
          <w:color w:val="000000"/>
          <w:sz w:val="24"/>
          <w:szCs w:val="20"/>
          <w:highlight w:val="none"/>
          <w:lang w:val="en-US" w:eastAsia="zh-CN"/>
        </w:rPr>
        <w:fldChar w:fldCharType="end"/>
      </w:r>
      <w:r>
        <w:rPr>
          <w:rFonts w:hint="eastAsia" w:ascii="Times New Roman" w:hAnsi="Times New Roman" w:eastAsia="宋体" w:cs="Times New Roman"/>
          <w:color w:val="000000"/>
          <w:sz w:val="24"/>
          <w:szCs w:val="20"/>
          <w:highlight w:val="none"/>
          <w:lang w:val="en-US" w:eastAsia="zh-CN"/>
        </w:rPr>
        <w:t>盆地及密云县西北部至</w:t>
      </w:r>
      <w:r>
        <w:rPr>
          <w:rFonts w:hint="eastAsia" w:ascii="Times New Roman" w:hAnsi="Times New Roman" w:eastAsia="宋体" w:cs="Times New Roman"/>
          <w:color w:val="000000"/>
          <w:sz w:val="24"/>
          <w:szCs w:val="20"/>
          <w:highlight w:val="none"/>
          <w:lang w:val="en-US" w:eastAsia="zh-CN"/>
        </w:rPr>
        <w:fldChar w:fldCharType="begin"/>
      </w:r>
      <w:r>
        <w:rPr>
          <w:rFonts w:hint="eastAsia" w:ascii="Times New Roman" w:hAnsi="Times New Roman" w:eastAsia="宋体" w:cs="Times New Roman"/>
          <w:color w:val="000000"/>
          <w:sz w:val="24"/>
          <w:szCs w:val="20"/>
          <w:highlight w:val="none"/>
          <w:lang w:val="en-US" w:eastAsia="zh-CN"/>
        </w:rPr>
        <w:instrText xml:space="preserve"> HYPERLINK "https://baike.so.com/doc/5373102-5609068.html" \t "https://baike.so.com/doc/_blank" </w:instrText>
      </w:r>
      <w:r>
        <w:rPr>
          <w:rFonts w:hint="eastAsia" w:ascii="Times New Roman" w:hAnsi="Times New Roman" w:eastAsia="宋体" w:cs="Times New Roman"/>
          <w:color w:val="000000"/>
          <w:sz w:val="24"/>
          <w:szCs w:val="20"/>
          <w:highlight w:val="none"/>
          <w:lang w:val="en-US" w:eastAsia="zh-CN"/>
        </w:rPr>
        <w:fldChar w:fldCharType="separate"/>
      </w:r>
      <w:r>
        <w:rPr>
          <w:rFonts w:hint="eastAsia" w:ascii="Times New Roman" w:hAnsi="Times New Roman" w:eastAsia="宋体" w:cs="Times New Roman"/>
          <w:color w:val="000000"/>
          <w:sz w:val="24"/>
          <w:szCs w:val="20"/>
          <w:highlight w:val="none"/>
          <w:lang w:val="en-US" w:eastAsia="zh-CN"/>
        </w:rPr>
        <w:t>怀柔</w:t>
      </w:r>
      <w:r>
        <w:rPr>
          <w:rFonts w:hint="eastAsia" w:ascii="Times New Roman" w:hAnsi="Times New Roman" w:eastAsia="宋体" w:cs="Times New Roman"/>
          <w:color w:val="000000"/>
          <w:sz w:val="24"/>
          <w:szCs w:val="20"/>
          <w:highlight w:val="none"/>
          <w:lang w:val="en-US" w:eastAsia="zh-CN"/>
        </w:rPr>
        <w:fldChar w:fldCharType="end"/>
      </w:r>
      <w:r>
        <w:rPr>
          <w:rFonts w:hint="eastAsia" w:ascii="Times New Roman" w:hAnsi="Times New Roman" w:eastAsia="宋体" w:cs="Times New Roman"/>
          <w:color w:val="000000"/>
          <w:sz w:val="24"/>
          <w:szCs w:val="20"/>
          <w:highlight w:val="none"/>
          <w:lang w:val="en-US" w:eastAsia="zh-CN"/>
        </w:rPr>
        <w:t>东部一带，年辐射量均在135千卡/厘</w:t>
      </w:r>
      <w:r>
        <w:rPr>
          <w:rFonts w:hint="eastAsia" w:ascii="Times New Roman" w:hAnsi="Times New Roman" w:cs="Times New Roman"/>
          <w:color w:val="000000"/>
          <w:sz w:val="24"/>
          <w:szCs w:val="20"/>
          <w:highlight w:val="none"/>
          <w:lang w:val="en-US" w:eastAsia="zh-CN"/>
        </w:rPr>
        <w:t>m</w:t>
      </w:r>
      <w:r>
        <w:rPr>
          <w:rFonts w:hint="eastAsia" w:ascii="Times New Roman" w:hAnsi="Times New Roman" w:eastAsia="宋体" w:cs="Times New Roman"/>
          <w:color w:val="000000"/>
          <w:sz w:val="24"/>
          <w:szCs w:val="20"/>
          <w:highlight w:val="none"/>
          <w:lang w:val="en-US" w:eastAsia="zh-CN"/>
        </w:rPr>
        <w:t>以上；低值区位于</w:t>
      </w:r>
      <w:r>
        <w:rPr>
          <w:rFonts w:hint="eastAsia" w:ascii="Times New Roman" w:hAnsi="Times New Roman" w:eastAsia="宋体" w:cs="Times New Roman"/>
          <w:color w:val="000000"/>
          <w:sz w:val="24"/>
          <w:szCs w:val="20"/>
          <w:highlight w:val="none"/>
          <w:lang w:val="en-US" w:eastAsia="zh-CN"/>
        </w:rPr>
        <w:fldChar w:fldCharType="begin"/>
      </w:r>
      <w:r>
        <w:rPr>
          <w:rFonts w:hint="eastAsia" w:ascii="Times New Roman" w:hAnsi="Times New Roman" w:eastAsia="宋体" w:cs="Times New Roman"/>
          <w:color w:val="000000"/>
          <w:sz w:val="24"/>
          <w:szCs w:val="20"/>
          <w:highlight w:val="none"/>
          <w:lang w:val="en-US" w:eastAsia="zh-CN"/>
        </w:rPr>
        <w:instrText xml:space="preserve"> HYPERLINK "https://baike.so.com/doc/3923148-4117302.html" \t "https://baike.so.com/doc/_blank" </w:instrText>
      </w:r>
      <w:r>
        <w:rPr>
          <w:rFonts w:hint="eastAsia" w:ascii="Times New Roman" w:hAnsi="Times New Roman" w:eastAsia="宋体" w:cs="Times New Roman"/>
          <w:color w:val="000000"/>
          <w:sz w:val="24"/>
          <w:szCs w:val="20"/>
          <w:highlight w:val="none"/>
          <w:lang w:val="en-US" w:eastAsia="zh-CN"/>
        </w:rPr>
        <w:fldChar w:fldCharType="separate"/>
      </w:r>
      <w:r>
        <w:rPr>
          <w:rFonts w:hint="eastAsia" w:ascii="Times New Roman" w:hAnsi="Times New Roman" w:eastAsia="宋体" w:cs="Times New Roman"/>
          <w:color w:val="000000"/>
          <w:sz w:val="24"/>
          <w:szCs w:val="20"/>
          <w:highlight w:val="none"/>
          <w:lang w:val="en-US" w:eastAsia="zh-CN"/>
        </w:rPr>
        <w:t>房山区</w:t>
      </w:r>
      <w:r>
        <w:rPr>
          <w:rFonts w:hint="eastAsia" w:ascii="Times New Roman" w:hAnsi="Times New Roman" w:eastAsia="宋体" w:cs="Times New Roman"/>
          <w:color w:val="000000"/>
          <w:sz w:val="24"/>
          <w:szCs w:val="20"/>
          <w:highlight w:val="none"/>
          <w:lang w:val="en-US" w:eastAsia="zh-CN"/>
        </w:rPr>
        <w:fldChar w:fldCharType="end"/>
      </w:r>
      <w:r>
        <w:rPr>
          <w:rFonts w:hint="eastAsia" w:ascii="Times New Roman" w:hAnsi="Times New Roman" w:eastAsia="宋体" w:cs="Times New Roman"/>
          <w:color w:val="000000"/>
          <w:sz w:val="24"/>
          <w:szCs w:val="20"/>
          <w:highlight w:val="none"/>
          <w:lang w:val="en-US" w:eastAsia="zh-CN"/>
        </w:rPr>
        <w:t>的霞云岭附近，年辐射量为112千卡/厘</w:t>
      </w:r>
      <w:r>
        <w:rPr>
          <w:rFonts w:hint="eastAsia" w:ascii="Times New Roman" w:hAnsi="Times New Roman" w:cs="Times New Roman"/>
          <w:color w:val="000000"/>
          <w:sz w:val="24"/>
          <w:szCs w:val="20"/>
          <w:highlight w:val="none"/>
          <w:lang w:val="en-US" w:eastAsia="zh-CN"/>
        </w:rPr>
        <w:t>m</w:t>
      </w:r>
      <w:r>
        <w:rPr>
          <w:rFonts w:hint="eastAsia" w:ascii="Times New Roman" w:hAnsi="Times New Roman" w:eastAsia="宋体" w:cs="Times New Roman"/>
          <w:color w:val="000000"/>
          <w:sz w:val="24"/>
          <w:szCs w:val="20"/>
          <w:highlight w:val="none"/>
          <w:lang w:val="en-US" w:eastAsia="zh-CN"/>
        </w:rPr>
        <w:t>。北京年平均日照时数在2000～2800小时之间。最大值在</w:t>
      </w:r>
      <w:r>
        <w:rPr>
          <w:rFonts w:hint="eastAsia" w:ascii="Times New Roman" w:hAnsi="Times New Roman" w:eastAsia="宋体" w:cs="Times New Roman"/>
          <w:color w:val="000000"/>
          <w:sz w:val="24"/>
          <w:szCs w:val="20"/>
          <w:highlight w:val="none"/>
          <w:lang w:val="en-US" w:eastAsia="zh-CN"/>
        </w:rPr>
        <w:fldChar w:fldCharType="begin"/>
      </w:r>
      <w:r>
        <w:rPr>
          <w:rFonts w:hint="eastAsia" w:ascii="Times New Roman" w:hAnsi="Times New Roman" w:eastAsia="宋体" w:cs="Times New Roman"/>
          <w:color w:val="000000"/>
          <w:sz w:val="24"/>
          <w:szCs w:val="20"/>
          <w:highlight w:val="none"/>
          <w:lang w:val="en-US" w:eastAsia="zh-CN"/>
        </w:rPr>
        <w:instrText xml:space="preserve"> HYPERLINK "https://baike.so.com/doc/23852742-24409564.html" \t "https://baike.so.com/doc/_blank" </w:instrText>
      </w:r>
      <w:r>
        <w:rPr>
          <w:rFonts w:hint="eastAsia" w:ascii="Times New Roman" w:hAnsi="Times New Roman" w:eastAsia="宋体" w:cs="Times New Roman"/>
          <w:color w:val="000000"/>
          <w:sz w:val="24"/>
          <w:szCs w:val="20"/>
          <w:highlight w:val="none"/>
          <w:lang w:val="en-US" w:eastAsia="zh-CN"/>
        </w:rPr>
        <w:fldChar w:fldCharType="separate"/>
      </w:r>
      <w:r>
        <w:rPr>
          <w:rFonts w:hint="eastAsia" w:ascii="Times New Roman" w:hAnsi="Times New Roman" w:eastAsia="宋体" w:cs="Times New Roman"/>
          <w:color w:val="000000"/>
          <w:sz w:val="24"/>
          <w:szCs w:val="20"/>
          <w:highlight w:val="none"/>
          <w:lang w:val="en-US" w:eastAsia="zh-CN"/>
        </w:rPr>
        <w:t>延庆区</w:t>
      </w:r>
      <w:r>
        <w:rPr>
          <w:rFonts w:hint="eastAsia" w:ascii="Times New Roman" w:hAnsi="Times New Roman" w:eastAsia="宋体" w:cs="Times New Roman"/>
          <w:color w:val="000000"/>
          <w:sz w:val="24"/>
          <w:szCs w:val="20"/>
          <w:highlight w:val="none"/>
          <w:lang w:val="en-US" w:eastAsia="zh-CN"/>
        </w:rPr>
        <w:fldChar w:fldCharType="end"/>
      </w:r>
      <w:r>
        <w:rPr>
          <w:rFonts w:hint="eastAsia" w:ascii="Times New Roman" w:hAnsi="Times New Roman" w:eastAsia="宋体" w:cs="Times New Roman"/>
          <w:color w:val="000000"/>
          <w:sz w:val="24"/>
          <w:szCs w:val="20"/>
          <w:highlight w:val="none"/>
          <w:lang w:val="en-US" w:eastAsia="zh-CN"/>
        </w:rPr>
        <w:t>和古北口，为2800小时以上，最小值分布在</w:t>
      </w:r>
      <w:r>
        <w:rPr>
          <w:rFonts w:hint="eastAsia" w:ascii="Times New Roman" w:hAnsi="Times New Roman" w:eastAsia="宋体" w:cs="Times New Roman"/>
          <w:color w:val="000000"/>
          <w:sz w:val="24"/>
          <w:szCs w:val="20"/>
          <w:highlight w:val="none"/>
          <w:lang w:val="en-US" w:eastAsia="zh-CN"/>
        </w:rPr>
        <w:fldChar w:fldCharType="begin"/>
      </w:r>
      <w:r>
        <w:rPr>
          <w:rFonts w:hint="eastAsia" w:ascii="Times New Roman" w:hAnsi="Times New Roman" w:eastAsia="宋体" w:cs="Times New Roman"/>
          <w:color w:val="000000"/>
          <w:sz w:val="24"/>
          <w:szCs w:val="20"/>
          <w:highlight w:val="none"/>
          <w:lang w:val="en-US" w:eastAsia="zh-CN"/>
        </w:rPr>
        <w:instrText xml:space="preserve"> HYPERLINK "https://baike.so.com/doc/4865350-5082950.html" \t "https://baike.so.com/doc/_blank" </w:instrText>
      </w:r>
      <w:r>
        <w:rPr>
          <w:rFonts w:hint="eastAsia" w:ascii="Times New Roman" w:hAnsi="Times New Roman" w:eastAsia="宋体" w:cs="Times New Roman"/>
          <w:color w:val="000000"/>
          <w:sz w:val="24"/>
          <w:szCs w:val="20"/>
          <w:highlight w:val="none"/>
          <w:lang w:val="en-US" w:eastAsia="zh-CN"/>
        </w:rPr>
        <w:fldChar w:fldCharType="separate"/>
      </w:r>
      <w:r>
        <w:rPr>
          <w:rFonts w:hint="eastAsia" w:ascii="Times New Roman" w:hAnsi="Times New Roman" w:eastAsia="宋体" w:cs="Times New Roman"/>
          <w:color w:val="000000"/>
          <w:sz w:val="24"/>
          <w:szCs w:val="20"/>
          <w:highlight w:val="none"/>
          <w:lang w:val="en-US" w:eastAsia="zh-CN"/>
        </w:rPr>
        <w:t>霞云岭</w:t>
      </w:r>
      <w:r>
        <w:rPr>
          <w:rFonts w:hint="eastAsia" w:ascii="Times New Roman" w:hAnsi="Times New Roman" w:eastAsia="宋体" w:cs="Times New Roman"/>
          <w:color w:val="000000"/>
          <w:sz w:val="24"/>
          <w:szCs w:val="20"/>
          <w:highlight w:val="none"/>
          <w:lang w:val="en-US" w:eastAsia="zh-CN"/>
        </w:rPr>
        <w:fldChar w:fldCharType="end"/>
      </w:r>
      <w:r>
        <w:rPr>
          <w:rFonts w:hint="eastAsia" w:ascii="Times New Roman" w:hAnsi="Times New Roman" w:eastAsia="宋体" w:cs="Times New Roman"/>
          <w:color w:val="000000"/>
          <w:sz w:val="24"/>
          <w:szCs w:val="20"/>
          <w:highlight w:val="none"/>
          <w:lang w:val="en-US" w:eastAsia="zh-CN"/>
        </w:rPr>
        <w:t>，日照为2063小时。夏季正当</w:t>
      </w:r>
      <w:r>
        <w:rPr>
          <w:rFonts w:hint="eastAsia" w:ascii="Times New Roman" w:hAnsi="Times New Roman" w:eastAsia="宋体" w:cs="Times New Roman"/>
          <w:color w:val="000000"/>
          <w:sz w:val="24"/>
          <w:szCs w:val="20"/>
          <w:highlight w:val="none"/>
          <w:lang w:val="en-US" w:eastAsia="zh-CN"/>
        </w:rPr>
        <w:fldChar w:fldCharType="begin"/>
      </w:r>
      <w:r>
        <w:rPr>
          <w:rFonts w:hint="eastAsia" w:ascii="Times New Roman" w:hAnsi="Times New Roman" w:eastAsia="宋体" w:cs="Times New Roman"/>
          <w:color w:val="000000"/>
          <w:sz w:val="24"/>
          <w:szCs w:val="20"/>
          <w:highlight w:val="none"/>
          <w:lang w:val="en-US" w:eastAsia="zh-CN"/>
        </w:rPr>
        <w:instrText xml:space="preserve"> HYPERLINK "https://baike.so.com/doc/5417453-5655598.html" \t "https://baike.so.com/doc/_blank" </w:instrText>
      </w:r>
      <w:r>
        <w:rPr>
          <w:rFonts w:hint="eastAsia" w:ascii="Times New Roman" w:hAnsi="Times New Roman" w:eastAsia="宋体" w:cs="Times New Roman"/>
          <w:color w:val="000000"/>
          <w:sz w:val="24"/>
          <w:szCs w:val="20"/>
          <w:highlight w:val="none"/>
          <w:lang w:val="en-US" w:eastAsia="zh-CN"/>
        </w:rPr>
        <w:fldChar w:fldCharType="separate"/>
      </w:r>
      <w:r>
        <w:rPr>
          <w:rFonts w:hint="eastAsia" w:ascii="Times New Roman" w:hAnsi="Times New Roman" w:eastAsia="宋体" w:cs="Times New Roman"/>
          <w:color w:val="000000"/>
          <w:sz w:val="24"/>
          <w:szCs w:val="20"/>
          <w:highlight w:val="none"/>
          <w:lang w:val="en-US" w:eastAsia="zh-CN"/>
        </w:rPr>
        <w:t>雨季</w:t>
      </w:r>
      <w:r>
        <w:rPr>
          <w:rFonts w:hint="eastAsia" w:ascii="Times New Roman" w:hAnsi="Times New Roman" w:eastAsia="宋体" w:cs="Times New Roman"/>
          <w:color w:val="000000"/>
          <w:sz w:val="24"/>
          <w:szCs w:val="20"/>
          <w:highlight w:val="none"/>
          <w:lang w:val="en-US" w:eastAsia="zh-CN"/>
        </w:rPr>
        <w:fldChar w:fldCharType="end"/>
      </w:r>
      <w:r>
        <w:rPr>
          <w:rFonts w:hint="eastAsia" w:ascii="Times New Roman" w:hAnsi="Times New Roman" w:eastAsia="宋体" w:cs="Times New Roman"/>
          <w:color w:val="000000"/>
          <w:sz w:val="24"/>
          <w:szCs w:val="20"/>
          <w:highlight w:val="none"/>
          <w:lang w:val="en-US" w:eastAsia="zh-CN"/>
        </w:rPr>
        <w:t>，日照时数减少，月日照在230小时左右；秋季日照时数虽没有春季多，但比夏季要多，月日照230～245小时；冬季是一年中日照时数最少季节，月日照不足200小时，一般在170～190小时。</w:t>
      </w:r>
    </w:p>
    <w:p>
      <w:pPr>
        <w:pageBreakBefore w:val="0"/>
        <w:widowControl w:val="0"/>
        <w:kinsoku/>
        <w:wordWrap/>
        <w:overflowPunct/>
        <w:topLinePunct w:val="0"/>
        <w:autoSpaceDE/>
        <w:autoSpaceDN/>
        <w:bidi w:val="0"/>
        <w:snapToGrid w:val="0"/>
        <w:spacing w:line="500" w:lineRule="exact"/>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4）装修</w:t>
      </w:r>
    </w:p>
    <w:p>
      <w:pPr>
        <w:pageBreakBefore w:val="0"/>
        <w:widowControl w:val="0"/>
        <w:kinsoku/>
        <w:wordWrap/>
        <w:overflowPunct/>
        <w:topLinePunct w:val="0"/>
        <w:autoSpaceDE/>
        <w:autoSpaceDN/>
        <w:bidi w:val="0"/>
        <w:snapToGrid w:val="0"/>
        <w:spacing w:line="500" w:lineRule="exact"/>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（1）顶棚：矿棉吸音板吊顶。</w:t>
      </w:r>
    </w:p>
    <w:p>
      <w:pPr>
        <w:pageBreakBefore w:val="0"/>
        <w:widowControl w:val="0"/>
        <w:kinsoku/>
        <w:wordWrap/>
        <w:overflowPunct/>
        <w:topLinePunct w:val="0"/>
        <w:autoSpaceDE/>
        <w:autoSpaceDN/>
        <w:bidi w:val="0"/>
        <w:snapToGrid w:val="0"/>
        <w:spacing w:line="500" w:lineRule="exact"/>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（2）墙面：无机涂料墙面。</w:t>
      </w:r>
    </w:p>
    <w:p>
      <w:pPr>
        <w:pageBreakBefore w:val="0"/>
        <w:widowControl w:val="0"/>
        <w:kinsoku/>
        <w:wordWrap/>
        <w:overflowPunct/>
        <w:topLinePunct w:val="0"/>
        <w:autoSpaceDE/>
        <w:autoSpaceDN/>
        <w:bidi w:val="0"/>
        <w:snapToGrid w:val="0"/>
        <w:spacing w:line="500" w:lineRule="exact"/>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（3）地面：防静电活动地板面层（架空楼面）。</w:t>
      </w:r>
    </w:p>
    <w:p>
      <w:pPr>
        <w:pageBreakBefore w:val="0"/>
        <w:widowControl w:val="0"/>
        <w:kinsoku/>
        <w:wordWrap/>
        <w:overflowPunct/>
        <w:topLinePunct w:val="0"/>
        <w:autoSpaceDE/>
        <w:autoSpaceDN/>
        <w:bidi w:val="0"/>
        <w:snapToGrid w:val="0"/>
        <w:spacing w:line="500" w:lineRule="exact"/>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（4）踢脚：瓷砖踢脚线。</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5）平面布置</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控制机房平面布置如下图1。</w:t>
      </w:r>
    </w:p>
    <w:p>
      <w:pPr>
        <w:pStyle w:val="4"/>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lang w:val="en-US" w:eastAsia="zh-CN"/>
        </w:rPr>
      </w:pPr>
      <w:bookmarkStart w:id="204" w:name="_Toc1106_WPSOffice_Level1"/>
      <w:bookmarkStart w:id="205" w:name="_Toc20181_WPSOffice_Level1"/>
      <w:r>
        <w:drawing>
          <wp:inline distT="0" distB="0" distL="114300" distR="114300">
            <wp:extent cx="5368290" cy="3573780"/>
            <wp:effectExtent l="0" t="0" r="3810" b="762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5368290" cy="3573780"/>
                    </a:xfrm>
                    <a:prstGeom prst="rect">
                      <a:avLst/>
                    </a:prstGeom>
                    <a:noFill/>
                    <a:ln>
                      <a:noFill/>
                    </a:ln>
                  </pic:spPr>
                </pic:pic>
              </a:graphicData>
            </a:graphic>
          </wp:inline>
        </w:drawing>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00" w:lineRule="exact"/>
        <w:ind w:firstLine="480" w:firstLineChars="200"/>
        <w:jc w:val="center"/>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color w:val="000000"/>
          <w:sz w:val="24"/>
          <w:szCs w:val="20"/>
          <w:lang w:val="en-US" w:eastAsia="zh-CN"/>
        </w:rPr>
        <w:t xml:space="preserve">图1  </w:t>
      </w:r>
      <w:r>
        <w:rPr>
          <w:rFonts w:hint="eastAsia" w:cs="Times New Roman"/>
          <w:kern w:val="2"/>
          <w:sz w:val="24"/>
          <w:szCs w:val="24"/>
          <w:highlight w:val="none"/>
          <w:lang w:val="en-US" w:eastAsia="zh-CN" w:bidi="ar-SA"/>
        </w:rPr>
        <w:t>控制机房</w:t>
      </w:r>
      <w:r>
        <w:rPr>
          <w:rFonts w:hint="eastAsia" w:ascii="Times New Roman" w:hAnsi="Times New Roman" w:eastAsia="宋体" w:cs="Times New Roman"/>
          <w:kern w:val="2"/>
          <w:sz w:val="24"/>
          <w:szCs w:val="24"/>
          <w:highlight w:val="none"/>
          <w:lang w:val="en-US" w:eastAsia="zh-CN" w:bidi="ar-SA"/>
        </w:rPr>
        <w:t>平面图</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cs="Times New Roman"/>
          <w:b/>
          <w:bCs/>
          <w:kern w:val="2"/>
          <w:sz w:val="24"/>
          <w:szCs w:val="24"/>
          <w:lang w:val="en-US" w:eastAsia="zh-CN" w:bidi="ar-SA"/>
        </w:rPr>
      </w:pPr>
      <w:bookmarkStart w:id="206" w:name="_Toc25049"/>
      <w:r>
        <w:rPr>
          <w:rFonts w:hint="eastAsia" w:cs="Times New Roman"/>
          <w:b/>
          <w:bCs/>
          <w:kern w:val="2"/>
          <w:sz w:val="24"/>
          <w:szCs w:val="24"/>
          <w:lang w:val="en-US" w:eastAsia="zh-CN" w:bidi="ar-SA"/>
        </w:rPr>
        <w:t>2、总体要求</w:t>
      </w:r>
      <w:bookmarkEnd w:id="206"/>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de-DE" w:eastAsia="zh-CN"/>
        </w:rPr>
      </w:pPr>
      <w:r>
        <w:rPr>
          <w:rFonts w:hint="eastAsia" w:cs="Times New Roman"/>
          <w:color w:val="000000"/>
          <w:sz w:val="24"/>
          <w:szCs w:val="20"/>
          <w:lang w:val="en-US" w:eastAsia="zh-CN"/>
        </w:rPr>
        <w:t>1）控制</w:t>
      </w:r>
      <w:r>
        <w:rPr>
          <w:rFonts w:hint="eastAsia" w:ascii="Times New Roman" w:hAnsi="Times New Roman" w:cs="Times New Roman"/>
          <w:color w:val="000000"/>
          <w:sz w:val="24"/>
          <w:szCs w:val="20"/>
          <w:lang w:val="en-US" w:eastAsia="zh-CN"/>
        </w:rPr>
        <w:t>机房总计分为两个功能区，分别为主机房区和电池室</w:t>
      </w:r>
      <w:r>
        <w:rPr>
          <w:rFonts w:hint="eastAsia" w:ascii="Times New Roman" w:hAnsi="Times New Roman" w:cs="Times New Roman"/>
          <w:color w:val="000000"/>
          <w:sz w:val="24"/>
          <w:szCs w:val="20"/>
          <w:lang w:val="de-DE"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w:t>
      </w:r>
      <w:r>
        <w:rPr>
          <w:rFonts w:hint="default" w:ascii="Times New Roman" w:hAnsi="Times New Roman" w:eastAsia="宋体" w:cs="Times New Roman"/>
          <w:bCs/>
          <w:color w:val="000000"/>
          <w:spacing w:val="0"/>
          <w:sz w:val="24"/>
          <w:highlight w:val="none"/>
          <w:lang w:val="en-US" w:eastAsia="zh-CN"/>
        </w:rPr>
        <w:t>控制机房建设采用微模块数据中心解决方案，整体采用模块化建设模式。微模块数据中心一体化集成了机柜系统、供配电系统、制冷系统、监控系统等，整体设计集成度非常高。</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de-DE" w:eastAsia="zh-CN"/>
        </w:rPr>
      </w:pPr>
      <w:r>
        <w:rPr>
          <w:rFonts w:hint="eastAsia" w:cs="Times New Roman"/>
          <w:color w:val="000000"/>
          <w:sz w:val="24"/>
          <w:szCs w:val="20"/>
          <w:lang w:val="en-US" w:eastAsia="zh-CN"/>
        </w:rPr>
        <w:t>3）</w:t>
      </w:r>
      <w:r>
        <w:rPr>
          <w:rFonts w:hint="eastAsia" w:ascii="Times New Roman" w:hAnsi="Times New Roman" w:cs="Times New Roman"/>
          <w:color w:val="000000"/>
          <w:sz w:val="24"/>
          <w:szCs w:val="20"/>
          <w:lang w:val="de-DE" w:eastAsia="zh-CN"/>
        </w:rPr>
        <w:t>主机房内放置</w:t>
      </w:r>
      <w:r>
        <w:rPr>
          <w:rFonts w:hint="eastAsia" w:ascii="Times New Roman" w:hAnsi="Times New Roman" w:cs="Times New Roman"/>
          <w:color w:val="000000"/>
          <w:sz w:val="24"/>
          <w:szCs w:val="20"/>
          <w:lang w:val="en-US" w:eastAsia="zh-CN"/>
        </w:rPr>
        <w:t>1</w:t>
      </w:r>
      <w:r>
        <w:rPr>
          <w:rFonts w:hint="eastAsia" w:ascii="Times New Roman" w:hAnsi="Times New Roman" w:cs="Times New Roman"/>
          <w:color w:val="000000"/>
          <w:sz w:val="24"/>
          <w:szCs w:val="20"/>
          <w:lang w:val="de-DE" w:eastAsia="zh-CN"/>
        </w:rPr>
        <w:t>个“</w:t>
      </w:r>
      <w:r>
        <w:rPr>
          <w:rFonts w:hint="eastAsia" w:ascii="Times New Roman" w:hAnsi="Times New Roman" w:cs="Times New Roman"/>
          <w:color w:val="000000"/>
          <w:sz w:val="24"/>
          <w:szCs w:val="20"/>
          <w:lang w:val="en-US" w:eastAsia="zh-CN"/>
        </w:rPr>
        <w:t>智能</w:t>
      </w:r>
      <w:r>
        <w:rPr>
          <w:rFonts w:hint="eastAsia" w:ascii="Times New Roman" w:hAnsi="Times New Roman" w:cs="Times New Roman"/>
          <w:color w:val="000000"/>
          <w:sz w:val="24"/>
          <w:szCs w:val="20"/>
          <w:lang w:val="de-DE" w:eastAsia="zh-CN"/>
        </w:rPr>
        <w:t>微模块”，机柜均为面对面摆放，冷通道宽度1.2米，共摆放2排</w:t>
      </w:r>
      <w:r>
        <w:rPr>
          <w:rFonts w:hint="eastAsia" w:cs="Times New Roman"/>
          <w:color w:val="000000"/>
          <w:sz w:val="24"/>
          <w:szCs w:val="20"/>
          <w:lang w:val="de-DE" w:eastAsia="zh-CN"/>
        </w:rPr>
        <w:t>，</w:t>
      </w:r>
      <w:r>
        <w:rPr>
          <w:rFonts w:hint="eastAsia" w:cs="Times New Roman"/>
          <w:color w:val="000000"/>
          <w:sz w:val="24"/>
          <w:szCs w:val="20"/>
          <w:lang w:val="en-US" w:eastAsia="zh-CN"/>
        </w:rPr>
        <w:t>共摆放2排16个标准机柜位和4个300mm宽机柜位</w:t>
      </w:r>
      <w:r>
        <w:rPr>
          <w:rFonts w:hint="eastAsia" w:ascii="Times New Roman" w:hAnsi="Times New Roman" w:cs="Times New Roman"/>
          <w:color w:val="000000"/>
          <w:sz w:val="24"/>
          <w:szCs w:val="20"/>
          <w:lang w:val="de-DE" w:eastAsia="zh-CN"/>
        </w:rPr>
        <w:t>，其中</w:t>
      </w:r>
      <w:r>
        <w:rPr>
          <w:rFonts w:hint="eastAsia" w:cs="Times New Roman"/>
          <w:color w:val="000000"/>
          <w:sz w:val="24"/>
          <w:szCs w:val="20"/>
          <w:lang w:val="en-US" w:eastAsia="zh-CN"/>
        </w:rPr>
        <w:t>15</w:t>
      </w:r>
      <w:r>
        <w:rPr>
          <w:rFonts w:hint="eastAsia" w:ascii="Times New Roman" w:hAnsi="Times New Roman" w:cs="Times New Roman"/>
          <w:color w:val="000000"/>
          <w:sz w:val="24"/>
          <w:szCs w:val="20"/>
          <w:lang w:val="de-DE" w:eastAsia="zh-CN"/>
        </w:rPr>
        <w:t>台为服务器机柜，1台为</w:t>
      </w:r>
      <w:r>
        <w:rPr>
          <w:rFonts w:hint="eastAsia" w:ascii="Times New Roman" w:hAnsi="Times New Roman" w:cs="Times New Roman"/>
          <w:color w:val="000000"/>
          <w:sz w:val="24"/>
          <w:szCs w:val="20"/>
          <w:lang w:val="en-US" w:eastAsia="zh-CN"/>
        </w:rPr>
        <w:t>列头柜</w:t>
      </w:r>
      <w:r>
        <w:rPr>
          <w:rFonts w:hint="eastAsia" w:ascii="Times New Roman" w:hAnsi="Times New Roman" w:cs="Times New Roman"/>
          <w:color w:val="000000"/>
          <w:sz w:val="24"/>
          <w:szCs w:val="20"/>
          <w:lang w:val="de-DE" w:eastAsia="zh-CN"/>
        </w:rPr>
        <w:t>，</w:t>
      </w:r>
      <w:r>
        <w:rPr>
          <w:rFonts w:hint="eastAsia" w:cs="Times New Roman"/>
          <w:color w:val="000000"/>
          <w:sz w:val="24"/>
          <w:szCs w:val="20"/>
          <w:lang w:val="en-US" w:eastAsia="zh-CN"/>
        </w:rPr>
        <w:t>3</w:t>
      </w:r>
      <w:r>
        <w:rPr>
          <w:rFonts w:hint="eastAsia" w:ascii="Times New Roman" w:hAnsi="Times New Roman" w:cs="Times New Roman"/>
          <w:color w:val="000000"/>
          <w:sz w:val="24"/>
          <w:szCs w:val="20"/>
          <w:lang w:val="de-DE" w:eastAsia="zh-CN"/>
        </w:rPr>
        <w:t>台为列间空调，</w:t>
      </w:r>
      <w:r>
        <w:rPr>
          <w:rFonts w:hint="eastAsia" w:ascii="宋体" w:hAnsi="宋体" w:eastAsia="宋体" w:cs="宋体"/>
          <w:sz w:val="24"/>
          <w:szCs w:val="22"/>
          <w:highlight w:val="none"/>
          <w:lang w:val="en-US" w:eastAsia="zh-CN"/>
        </w:rPr>
        <w:t>剩余</w:t>
      </w:r>
      <w:r>
        <w:rPr>
          <w:rFonts w:hint="eastAsia" w:ascii="宋体" w:hAnsi="宋体" w:cs="宋体"/>
          <w:sz w:val="24"/>
          <w:szCs w:val="22"/>
          <w:highlight w:val="none"/>
          <w:lang w:val="en-US" w:eastAsia="zh-CN"/>
        </w:rPr>
        <w:t>1台</w:t>
      </w:r>
      <w:r>
        <w:rPr>
          <w:rFonts w:hint="eastAsia" w:ascii="宋体" w:hAnsi="宋体" w:eastAsia="宋体" w:cs="宋体"/>
          <w:sz w:val="24"/>
          <w:szCs w:val="22"/>
          <w:highlight w:val="none"/>
          <w:lang w:val="en-US" w:eastAsia="zh-CN"/>
        </w:rPr>
        <w:t>为半柜空调补框</w:t>
      </w:r>
      <w:r>
        <w:rPr>
          <w:rFonts w:hint="eastAsia" w:ascii="宋体" w:hAnsi="宋体" w:cs="宋体"/>
          <w:sz w:val="24"/>
          <w:szCs w:val="22"/>
          <w:highlight w:val="none"/>
          <w:lang w:val="en-US" w:eastAsia="zh-CN"/>
        </w:rPr>
        <w:t>，</w:t>
      </w:r>
      <w:r>
        <w:rPr>
          <w:rFonts w:hint="eastAsia" w:ascii="Times New Roman" w:hAnsi="Times New Roman" w:cs="Times New Roman"/>
          <w:color w:val="000000"/>
          <w:sz w:val="24"/>
          <w:szCs w:val="20"/>
          <w:lang w:val="de-DE" w:eastAsia="zh-CN"/>
        </w:rPr>
        <w:t>封闭冷通道。</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w:t>
      </w:r>
      <w:r>
        <w:rPr>
          <w:rFonts w:hint="eastAsia" w:ascii="Times New Roman" w:hAnsi="Times New Roman" w:cs="Times New Roman"/>
          <w:color w:val="000000"/>
          <w:sz w:val="24"/>
          <w:szCs w:val="20"/>
          <w:lang w:val="en-US" w:eastAsia="zh-CN"/>
        </w:rPr>
        <w:t>UPS和配电柜放置于电池室</w:t>
      </w:r>
      <w:r>
        <w:rPr>
          <w:rFonts w:hint="eastAsia" w:cs="Times New Roman"/>
          <w:color w:val="000000"/>
          <w:sz w:val="24"/>
          <w:szCs w:val="20"/>
          <w:lang w:val="en-US" w:eastAsia="zh-CN"/>
        </w:rPr>
        <w:t>内。</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5）</w:t>
      </w:r>
      <w:r>
        <w:rPr>
          <w:rFonts w:hint="eastAsia" w:ascii="Times New Roman" w:hAnsi="Times New Roman" w:cs="Times New Roman"/>
          <w:color w:val="000000"/>
          <w:sz w:val="24"/>
          <w:szCs w:val="20"/>
          <w:lang w:val="en-US" w:eastAsia="zh-CN"/>
        </w:rPr>
        <w:t>部署</w:t>
      </w:r>
      <w:r>
        <w:rPr>
          <w:rFonts w:hint="eastAsia" w:cs="Times New Roman"/>
          <w:color w:val="000000"/>
          <w:sz w:val="24"/>
          <w:szCs w:val="20"/>
          <w:lang w:val="en-US" w:eastAsia="zh-CN"/>
        </w:rPr>
        <w:t>1</w:t>
      </w:r>
      <w:r>
        <w:rPr>
          <w:rFonts w:hint="eastAsia" w:ascii="Times New Roman" w:hAnsi="Times New Roman" w:cs="Times New Roman"/>
          <w:color w:val="000000"/>
          <w:sz w:val="24"/>
          <w:szCs w:val="20"/>
          <w:lang w:val="en-US" w:eastAsia="zh-CN"/>
        </w:rPr>
        <w:t>台13</w:t>
      </w:r>
      <w:r>
        <w:rPr>
          <w:rFonts w:hint="eastAsia" w:cs="Times New Roman"/>
          <w:color w:val="000000"/>
          <w:sz w:val="24"/>
          <w:szCs w:val="20"/>
          <w:lang w:val="en-US" w:eastAsia="zh-CN"/>
        </w:rPr>
        <w:t>k</w:t>
      </w:r>
      <w:r>
        <w:rPr>
          <w:rFonts w:hint="eastAsia" w:ascii="Times New Roman" w:hAnsi="Times New Roman" w:cs="Times New Roman"/>
          <w:color w:val="000000"/>
          <w:sz w:val="24"/>
          <w:szCs w:val="20"/>
          <w:lang w:val="en-US" w:eastAsia="zh-CN"/>
        </w:rPr>
        <w:t>W精密空调放置于电池室内，保证房间内环境稳定，确保电池室内设备稳定运行。</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6）</w:t>
      </w:r>
      <w:r>
        <w:rPr>
          <w:rFonts w:hint="eastAsia" w:ascii="Times New Roman" w:hAnsi="Times New Roman" w:cs="Times New Roman"/>
          <w:color w:val="000000"/>
          <w:sz w:val="24"/>
          <w:szCs w:val="20"/>
          <w:lang w:val="en-US" w:eastAsia="zh-CN"/>
        </w:rPr>
        <w:t>电池室内部署3组铅酸蓄电池，每组铅酸蓄电池包含40节12V-200AH铅酸蓄电池配合UPS一起使用</w:t>
      </w:r>
      <w:r>
        <w:rPr>
          <w:rFonts w:hint="eastAsia" w:cs="Times New Roman"/>
          <w:color w:val="000000"/>
          <w:sz w:val="24"/>
          <w:szCs w:val="20"/>
          <w:lang w:val="en-US" w:eastAsia="zh-CN"/>
        </w:rPr>
        <w:t>，</w:t>
      </w:r>
      <w:r>
        <w:rPr>
          <w:rFonts w:hint="eastAsia" w:ascii="Times New Roman" w:hAnsi="Times New Roman" w:cs="Times New Roman"/>
          <w:color w:val="000000"/>
          <w:sz w:val="24"/>
          <w:szCs w:val="20"/>
          <w:lang w:val="en-US" w:eastAsia="zh-CN"/>
        </w:rPr>
        <w:t>支持负载按照</w:t>
      </w:r>
      <w:r>
        <w:rPr>
          <w:rFonts w:hint="eastAsia" w:cs="Times New Roman"/>
          <w:color w:val="000000"/>
          <w:sz w:val="24"/>
          <w:szCs w:val="20"/>
          <w:lang w:val="en-US" w:eastAsia="zh-CN"/>
        </w:rPr>
        <w:t>100k</w:t>
      </w:r>
      <w:r>
        <w:rPr>
          <w:rFonts w:hint="eastAsia" w:ascii="Times New Roman" w:hAnsi="Times New Roman" w:cs="Times New Roman"/>
          <w:color w:val="000000"/>
          <w:sz w:val="24"/>
          <w:szCs w:val="20"/>
          <w:lang w:val="en-US" w:eastAsia="zh-CN"/>
        </w:rPr>
        <w:t>W计算，后备时间2小时。</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7）</w:t>
      </w:r>
      <w:r>
        <w:rPr>
          <w:rFonts w:hint="eastAsia" w:ascii="Times New Roman" w:hAnsi="Times New Roman" w:cs="Times New Roman"/>
          <w:color w:val="000000"/>
          <w:sz w:val="24"/>
          <w:szCs w:val="20"/>
          <w:lang w:val="de-DE" w:eastAsia="zh-CN"/>
        </w:rPr>
        <w:t>机房</w:t>
      </w:r>
      <w:r>
        <w:rPr>
          <w:rFonts w:hint="eastAsia" w:ascii="Times New Roman" w:hAnsi="Times New Roman" w:cs="Times New Roman"/>
          <w:color w:val="000000"/>
          <w:sz w:val="24"/>
          <w:szCs w:val="20"/>
          <w:lang w:val="en-US" w:eastAsia="zh-CN"/>
        </w:rPr>
        <w:t>整体部署一套管理系统，对机房内供配电、UPS、空调、温湿度、漏水检测、烟雾、视频、门禁等设备的不间断监控，发现部件故障或参数异常，即时采取颜色、E-mail、SMS和声音告警等多种报警方式，记录历史数据和报警事件。</w:t>
      </w:r>
    </w:p>
    <w:p>
      <w:pPr>
        <w:pStyle w:val="22"/>
        <w:adjustRightInd w:val="0"/>
        <w:spacing w:line="490" w:lineRule="exact"/>
        <w:ind w:firstLine="480"/>
        <w:textAlignment w:val="baseline"/>
        <w:rPr>
          <w:rFonts w:hint="default" w:ascii="Times New Roman" w:hAnsi="Times New Roman" w:eastAsia="宋体" w:cs="Times New Roman"/>
          <w:bCs/>
          <w:color w:val="000000"/>
          <w:spacing w:val="0"/>
          <w:sz w:val="24"/>
          <w:highlight w:val="none"/>
          <w:lang w:val="en-US" w:eastAsia="zh-CN"/>
        </w:rPr>
      </w:pPr>
      <w:r>
        <w:rPr>
          <w:rFonts w:hint="eastAsia" w:ascii="Times New Roman" w:hAnsi="Times New Roman" w:eastAsia="宋体" w:cs="Times New Roman"/>
          <w:bCs/>
          <w:color w:val="000000"/>
          <w:spacing w:val="0"/>
          <w:sz w:val="24"/>
          <w:highlight w:val="none"/>
          <w:lang w:val="en-US" w:eastAsia="zh-CN"/>
        </w:rPr>
        <w:t>8）防雷</w:t>
      </w:r>
    </w:p>
    <w:p>
      <w:pPr>
        <w:pStyle w:val="22"/>
        <w:adjustRightInd w:val="0"/>
        <w:spacing w:line="490" w:lineRule="exact"/>
        <w:ind w:firstLine="480"/>
        <w:textAlignment w:val="baseline"/>
        <w:rPr>
          <w:rFonts w:hint="eastAsia" w:ascii="Times New Roman" w:hAnsi="Times New Roman" w:eastAsia="宋体" w:cs="Times New Roman"/>
          <w:bCs/>
          <w:color w:val="000000"/>
          <w:spacing w:val="0"/>
          <w:sz w:val="24"/>
          <w:highlight w:val="none"/>
          <w:lang w:val="en-US" w:eastAsia="zh-CN"/>
        </w:rPr>
      </w:pPr>
      <w:r>
        <w:rPr>
          <w:rFonts w:hint="eastAsia" w:ascii="Times New Roman" w:hAnsi="Times New Roman" w:eastAsia="宋体" w:cs="Times New Roman"/>
          <w:bCs/>
          <w:color w:val="000000"/>
          <w:spacing w:val="0"/>
          <w:sz w:val="24"/>
          <w:highlight w:val="none"/>
          <w:lang w:val="en-US" w:eastAsia="zh-CN"/>
        </w:rPr>
        <w:t>控制机房设置防感应雷和雷击电磁脉冲的防雷措施，防护对象有配电柜、机房网络设备，并参照《建筑物防雷设计规范》GB50057-2010，《建筑物电子信息系统防雷技术规范》GB50343-2012建设。</w:t>
      </w:r>
    </w:p>
    <w:p>
      <w:pPr>
        <w:pStyle w:val="22"/>
        <w:adjustRightInd w:val="0"/>
        <w:spacing w:line="490" w:lineRule="exact"/>
        <w:ind w:firstLine="480"/>
        <w:textAlignment w:val="baseline"/>
        <w:rPr>
          <w:rFonts w:hint="eastAsia" w:ascii="Times New Roman" w:hAnsi="Times New Roman" w:eastAsia="宋体" w:cs="Times New Roman"/>
          <w:bCs/>
          <w:color w:val="000000"/>
          <w:spacing w:val="0"/>
          <w:sz w:val="24"/>
          <w:highlight w:val="none"/>
          <w:lang w:val="en-US" w:eastAsia="zh-CN"/>
        </w:rPr>
      </w:pPr>
      <w:r>
        <w:rPr>
          <w:rFonts w:hint="eastAsia" w:ascii="Times New Roman" w:hAnsi="Times New Roman" w:eastAsia="宋体" w:cs="Times New Roman"/>
          <w:bCs/>
          <w:color w:val="000000"/>
          <w:spacing w:val="0"/>
          <w:sz w:val="24"/>
          <w:highlight w:val="none"/>
          <w:lang w:val="en-US" w:eastAsia="zh-CN"/>
        </w:rPr>
        <w:t>9）接地</w:t>
      </w:r>
    </w:p>
    <w:p>
      <w:pPr>
        <w:pStyle w:val="22"/>
        <w:adjustRightInd w:val="0"/>
        <w:spacing w:line="490" w:lineRule="exact"/>
        <w:ind w:firstLine="480"/>
        <w:textAlignment w:val="baseline"/>
        <w:rPr>
          <w:rFonts w:hint="default"/>
          <w:lang w:val="en-US" w:eastAsia="zh-CN"/>
        </w:rPr>
      </w:pPr>
      <w:r>
        <w:rPr>
          <w:rFonts w:hint="eastAsia" w:ascii="Times New Roman" w:hAnsi="Times New Roman" w:eastAsia="宋体" w:cs="Times New Roman"/>
          <w:bCs/>
          <w:color w:val="000000"/>
          <w:spacing w:val="0"/>
          <w:sz w:val="24"/>
          <w:highlight w:val="none"/>
          <w:lang w:val="en-US" w:eastAsia="zh-CN"/>
        </w:rPr>
        <w:t>控制机房保护性接地和功能性接地共用一组接地装置，其接地电阻不大于1Ω。控制机房内所有设备的金属外壳、各类金属管道、金属线槽、建筑物金属结构必须进行等电位联结并接地。等电位连接网格应采用截面积不小于25mm</w:t>
      </w:r>
      <w:r>
        <w:rPr>
          <w:rFonts w:hint="eastAsia" w:ascii="Times New Roman" w:hAnsi="Times New Roman" w:eastAsia="宋体" w:cs="Times New Roman"/>
          <w:bCs/>
          <w:color w:val="000000"/>
          <w:spacing w:val="0"/>
          <w:sz w:val="24"/>
          <w:highlight w:val="none"/>
          <w:vertAlign w:val="superscript"/>
          <w:lang w:val="en-US" w:eastAsia="zh-CN"/>
        </w:rPr>
        <w:t>2</w:t>
      </w:r>
      <w:r>
        <w:rPr>
          <w:rFonts w:hint="eastAsia" w:ascii="Times New Roman" w:hAnsi="Times New Roman" w:eastAsia="宋体" w:cs="Times New Roman"/>
          <w:bCs/>
          <w:color w:val="000000"/>
          <w:spacing w:val="0"/>
          <w:sz w:val="24"/>
          <w:highlight w:val="none"/>
          <w:lang w:val="en-US" w:eastAsia="zh-CN"/>
        </w:rPr>
        <w:t>的铜带，并应在防静电地板下构成边长为0.6m~0.3m的矩形网格。控制机房地板设置静电泄放措施和接地系统，防静电地板表面电阻应为2.5×10</w:t>
      </w:r>
      <w:r>
        <w:rPr>
          <w:rFonts w:hint="eastAsia" w:ascii="Times New Roman" w:hAnsi="Times New Roman" w:eastAsia="宋体" w:cs="Times New Roman"/>
          <w:bCs/>
          <w:color w:val="000000"/>
          <w:spacing w:val="0"/>
          <w:sz w:val="24"/>
          <w:highlight w:val="none"/>
          <w:vertAlign w:val="superscript"/>
          <w:lang w:val="en-US" w:eastAsia="zh-CN"/>
        </w:rPr>
        <w:t>4</w:t>
      </w:r>
      <w:r>
        <w:rPr>
          <w:rFonts w:hint="eastAsia" w:ascii="Times New Roman" w:hAnsi="Times New Roman" w:eastAsia="宋体" w:cs="Times New Roman"/>
          <w:bCs/>
          <w:color w:val="000000"/>
          <w:spacing w:val="0"/>
          <w:sz w:val="24"/>
          <w:highlight w:val="none"/>
          <w:lang w:val="en-US" w:eastAsia="zh-CN"/>
        </w:rPr>
        <w:t>Ω~1.0×10</w:t>
      </w:r>
      <w:r>
        <w:rPr>
          <w:rFonts w:hint="eastAsia" w:ascii="Times New Roman" w:hAnsi="Times New Roman" w:eastAsia="宋体" w:cs="Times New Roman"/>
          <w:bCs/>
          <w:color w:val="000000"/>
          <w:spacing w:val="0"/>
          <w:sz w:val="24"/>
          <w:highlight w:val="none"/>
          <w:vertAlign w:val="superscript"/>
          <w:lang w:val="en-US" w:eastAsia="zh-CN"/>
        </w:rPr>
        <w:t>4</w:t>
      </w:r>
      <w:r>
        <w:rPr>
          <w:rFonts w:hint="eastAsia" w:ascii="Times New Roman" w:hAnsi="Times New Roman" w:eastAsia="宋体" w:cs="Times New Roman"/>
          <w:bCs/>
          <w:color w:val="000000"/>
          <w:spacing w:val="0"/>
          <w:sz w:val="24"/>
          <w:highlight w:val="none"/>
          <w:lang w:val="en-US" w:eastAsia="zh-CN"/>
        </w:rPr>
        <w:t>Ω，并具有防火、环保、耐污、耐磨性能。</w:t>
      </w:r>
    </w:p>
    <w:p>
      <w:pPr>
        <w:pageBreakBefore w:val="0"/>
        <w:widowControl w:val="0"/>
        <w:kinsoku/>
        <w:wordWrap/>
        <w:overflowPunct/>
        <w:topLinePunct w:val="0"/>
        <w:autoSpaceDE/>
        <w:autoSpaceDN/>
        <w:bidi w:val="0"/>
        <w:adjustRightInd/>
        <w:spacing w:before="120" w:beforeLines="50" w:after="120" w:afterLines="50" w:line="500" w:lineRule="exact"/>
        <w:ind w:firstLine="562" w:firstLineChars="200"/>
        <w:textAlignment w:val="auto"/>
        <w:outlineLvl w:val="0"/>
        <w:rPr>
          <w:rFonts w:eastAsia="黑体"/>
          <w:b/>
          <w:sz w:val="28"/>
          <w:szCs w:val="28"/>
        </w:rPr>
      </w:pPr>
      <w:bookmarkStart w:id="207" w:name="_Toc16336"/>
      <w:r>
        <w:rPr>
          <w:rFonts w:hint="eastAsia" w:eastAsia="黑体"/>
          <w:b/>
          <w:sz w:val="28"/>
          <w:szCs w:val="28"/>
        </w:rPr>
        <w:t>四、</w:t>
      </w:r>
      <w:r>
        <w:rPr>
          <w:rFonts w:hint="eastAsia" w:eastAsia="黑体"/>
          <w:b/>
          <w:sz w:val="28"/>
          <w:szCs w:val="28"/>
          <w:lang w:val="en-US" w:eastAsia="zh-CN"/>
        </w:rPr>
        <w:t>主要</w:t>
      </w:r>
      <w:r>
        <w:rPr>
          <w:rFonts w:hint="eastAsia" w:eastAsia="黑体"/>
          <w:b/>
          <w:sz w:val="28"/>
          <w:szCs w:val="28"/>
        </w:rPr>
        <w:t>设备功能要求</w:t>
      </w:r>
      <w:bookmarkEnd w:id="204"/>
      <w:bookmarkEnd w:id="205"/>
      <w:bookmarkEnd w:id="207"/>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eastAsia" w:ascii="Times New Roman" w:hAnsi="Times New Roman" w:eastAsia="宋体" w:cs="Times New Roman"/>
          <w:b/>
          <w:bCs/>
          <w:kern w:val="2"/>
          <w:sz w:val="24"/>
          <w:szCs w:val="24"/>
          <w:lang w:val="en-US" w:eastAsia="zh-CN" w:bidi="ar-SA"/>
        </w:rPr>
      </w:pPr>
      <w:bookmarkStart w:id="208" w:name="_Toc24032"/>
      <w:bookmarkStart w:id="209" w:name="_Toc17454_WPSOffice_Level1"/>
      <w:bookmarkStart w:id="210" w:name="_Toc17913"/>
      <w:bookmarkStart w:id="211" w:name="_Toc23907_WPSOffice_Level1"/>
      <w:r>
        <w:rPr>
          <w:rFonts w:hint="eastAsia" w:cs="Times New Roman"/>
          <w:b/>
          <w:bCs/>
          <w:kern w:val="2"/>
          <w:sz w:val="24"/>
          <w:szCs w:val="24"/>
          <w:lang w:val="en-US" w:eastAsia="zh-CN" w:bidi="ar-SA"/>
        </w:rPr>
        <w:t>1、</w:t>
      </w:r>
      <w:r>
        <w:rPr>
          <w:rFonts w:hint="eastAsia" w:eastAsia="宋体" w:cs="宋体"/>
          <w:b/>
        </w:rPr>
        <w:t>服务器机柜</w:t>
      </w:r>
      <w:r>
        <w:rPr>
          <w:rFonts w:hint="eastAsia" w:cs="宋体"/>
          <w:b/>
          <w:lang w:eastAsia="zh-CN"/>
        </w:rPr>
        <w:t>（</w:t>
      </w:r>
      <w:r>
        <w:rPr>
          <w:rFonts w:hint="eastAsia" w:cs="宋体"/>
          <w:b/>
          <w:lang w:val="en-US" w:eastAsia="zh-CN"/>
        </w:rPr>
        <w:t>甲供</w:t>
      </w:r>
      <w:r>
        <w:rPr>
          <w:rFonts w:hint="eastAsia" w:cs="宋体"/>
          <w:b/>
          <w:lang w:eastAsia="zh-CN"/>
        </w:rPr>
        <w:t>）</w:t>
      </w:r>
      <w:bookmarkEnd w:id="208"/>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1）采用</w:t>
      </w:r>
      <w:r>
        <w:rPr>
          <w:rFonts w:hint="eastAsia" w:ascii="Times New Roman" w:hAnsi="Times New Roman" w:cs="Times New Roman"/>
          <w:color w:val="000000"/>
          <w:sz w:val="24"/>
          <w:szCs w:val="20"/>
          <w:lang w:val="en-US" w:eastAsia="zh-CN"/>
        </w:rPr>
        <w:t>19英寸标准服务器机柜，尺寸</w:t>
      </w:r>
      <w:r>
        <w:rPr>
          <w:rFonts w:hint="eastAsia" w:cs="Times New Roman"/>
          <w:color w:val="000000"/>
          <w:sz w:val="24"/>
          <w:szCs w:val="20"/>
          <w:lang w:val="en-US" w:eastAsia="zh-CN"/>
        </w:rPr>
        <w:t>（</w:t>
      </w:r>
      <w:r>
        <w:rPr>
          <w:rFonts w:hint="eastAsia" w:ascii="Times New Roman" w:hAnsi="Times New Roman" w:cs="Times New Roman"/>
          <w:color w:val="000000"/>
          <w:sz w:val="24"/>
          <w:szCs w:val="20"/>
          <w:lang w:val="en-US" w:eastAsia="zh-CN"/>
        </w:rPr>
        <w:t>W×D×H</w:t>
      </w:r>
      <w:r>
        <w:rPr>
          <w:rFonts w:hint="eastAsia" w:cs="Times New Roman"/>
          <w:color w:val="000000"/>
          <w:sz w:val="24"/>
          <w:szCs w:val="20"/>
          <w:lang w:val="en-US" w:eastAsia="zh-CN"/>
        </w:rPr>
        <w:t>）=</w:t>
      </w:r>
      <w:r>
        <w:rPr>
          <w:rFonts w:hint="eastAsia" w:ascii="Times New Roman" w:hAnsi="Times New Roman" w:cs="Times New Roman"/>
          <w:color w:val="000000"/>
          <w:sz w:val="24"/>
          <w:szCs w:val="20"/>
          <w:lang w:val="en-US" w:eastAsia="zh-CN"/>
        </w:rPr>
        <w:t>600mm×1200mm×2000mm，颜色为黑色。</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2）</w:t>
      </w:r>
      <w:r>
        <w:rPr>
          <w:rFonts w:hint="eastAsia" w:ascii="Times New Roman" w:hAnsi="Times New Roman" w:cs="Times New Roman"/>
          <w:color w:val="000000"/>
          <w:sz w:val="24"/>
          <w:szCs w:val="20"/>
          <w:lang w:val="en-US" w:eastAsia="zh-CN"/>
        </w:rPr>
        <w:t>每个服务器机体内配套1对导轨、1个固定托盘、2个1U理线架、6个束线圈、20个1U挡板，2个国标PDU。PDU采用32A/1P输入，输出端口不低于20×10A+4×16A。</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3）</w:t>
      </w:r>
      <w:r>
        <w:rPr>
          <w:rFonts w:hint="eastAsia" w:ascii="Times New Roman" w:hAnsi="Times New Roman" w:cs="Times New Roman"/>
          <w:color w:val="000000"/>
          <w:sz w:val="24"/>
          <w:szCs w:val="20"/>
          <w:lang w:val="en-US" w:eastAsia="zh-CN"/>
        </w:rPr>
        <w:t>服务器机柜应采用鞍钢/首钢等大型企业的高强度A级优质碳素冷轧钢板和镀锌板，表面喷涂厚度应不小于60μm</w:t>
      </w:r>
      <w:r>
        <w:rPr>
          <w:rFonts w:hint="eastAsia" w:cs="Times New Roman"/>
          <w:color w:val="000000"/>
          <w:sz w:val="24"/>
          <w:szCs w:val="20"/>
          <w:lang w:val="en-US" w:eastAsia="zh-CN"/>
        </w:rPr>
        <w:t>，</w:t>
      </w:r>
      <w:r>
        <w:rPr>
          <w:rFonts w:hint="eastAsia" w:ascii="Times New Roman" w:hAnsi="Times New Roman" w:cs="Times New Roman"/>
          <w:color w:val="000000"/>
          <w:sz w:val="24"/>
          <w:szCs w:val="20"/>
          <w:lang w:val="en-US" w:eastAsia="zh-CN"/>
        </w:rPr>
        <w:t>采用黑色砂纹工艺，满足防腐、防锈、光洁、色泽均匀、无流挂、不露底、无起泡、无裂纹、金属件无毛刺锈蚀要求。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4）</w:t>
      </w:r>
      <w:r>
        <w:rPr>
          <w:rFonts w:hint="eastAsia" w:ascii="Times New Roman" w:hAnsi="Times New Roman" w:cs="Times New Roman"/>
          <w:color w:val="000000"/>
          <w:sz w:val="24"/>
          <w:szCs w:val="20"/>
          <w:lang w:val="en-US" w:eastAsia="zh-CN"/>
        </w:rPr>
        <w:t>服务器机柜立柱采用八折型材一次滚压成型技术，保证承重要求。主要承重部件包括立柱、横梁、框架等的板材厚度不小于1.5mm，顶板、侧板、底板等非承重部件的板材厚度1.0mm。</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5）</w:t>
      </w:r>
      <w:r>
        <w:rPr>
          <w:rFonts w:hint="eastAsia" w:ascii="Times New Roman" w:hAnsi="Times New Roman" w:cs="Times New Roman"/>
          <w:color w:val="000000"/>
          <w:sz w:val="24"/>
          <w:szCs w:val="20"/>
          <w:lang w:val="en-US" w:eastAsia="zh-CN"/>
        </w:rPr>
        <w:t>服务器机柜采用专用的机柜并柜连接件，支持无需拆卸机柜门情况下实现机柜并柜功能。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6）</w:t>
      </w:r>
      <w:r>
        <w:rPr>
          <w:rFonts w:hint="eastAsia" w:ascii="Times New Roman" w:hAnsi="Times New Roman" w:cs="Times New Roman"/>
          <w:color w:val="000000"/>
          <w:sz w:val="24"/>
          <w:szCs w:val="20"/>
          <w:lang w:val="en-US" w:eastAsia="zh-CN"/>
        </w:rPr>
        <w:t>服务器机柜门和侧板为可拆卸式结构，无需工具即可拆卸和安装</w:t>
      </w:r>
      <w:r>
        <w:rPr>
          <w:rFonts w:hint="eastAsia" w:cs="Times New Roman"/>
          <w:color w:val="000000"/>
          <w:sz w:val="24"/>
          <w:szCs w:val="20"/>
          <w:lang w:val="en-US" w:eastAsia="zh-CN"/>
        </w:rPr>
        <w:t>。</w:t>
      </w:r>
      <w:r>
        <w:rPr>
          <w:rFonts w:hint="eastAsia" w:ascii="Times New Roman" w:hAnsi="Times New Roman" w:cs="Times New Roman"/>
          <w:color w:val="000000"/>
          <w:sz w:val="24"/>
          <w:szCs w:val="20"/>
          <w:lang w:val="en-US" w:eastAsia="zh-CN"/>
        </w:rPr>
        <w:t>门的开合转动灵活、锁定可靠、施工安装和维护方便。前</w:t>
      </w:r>
      <w:r>
        <w:rPr>
          <w:rFonts w:hint="eastAsia" w:cs="Times New Roman"/>
          <w:color w:val="000000"/>
          <w:sz w:val="24"/>
          <w:szCs w:val="20"/>
          <w:lang w:val="en-US" w:eastAsia="zh-CN"/>
        </w:rPr>
        <w:t>、</w:t>
      </w:r>
      <w:r>
        <w:rPr>
          <w:rFonts w:hint="eastAsia" w:ascii="Times New Roman" w:hAnsi="Times New Roman" w:cs="Times New Roman"/>
          <w:color w:val="000000"/>
          <w:sz w:val="24"/>
          <w:szCs w:val="20"/>
          <w:lang w:val="en-US" w:eastAsia="zh-CN"/>
        </w:rPr>
        <w:t>后门应采用外开门方式，前门单开，后门双开，整体防护等级应不小于IP20。</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7）</w:t>
      </w:r>
      <w:r>
        <w:rPr>
          <w:rFonts w:hint="eastAsia" w:ascii="Times New Roman" w:hAnsi="Times New Roman" w:cs="Times New Roman"/>
          <w:color w:val="000000"/>
          <w:sz w:val="24"/>
          <w:szCs w:val="20"/>
          <w:lang w:val="en-US" w:eastAsia="zh-CN"/>
        </w:rPr>
        <w:t>为保证设备上下架方便，避免磕碰，服务器机柜前后门开启角度应不小于140°，以满足设备的安装要求。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8）</w:t>
      </w:r>
      <w:r>
        <w:rPr>
          <w:rFonts w:hint="eastAsia" w:ascii="Times New Roman" w:hAnsi="Times New Roman" w:cs="Times New Roman"/>
          <w:color w:val="000000"/>
          <w:sz w:val="24"/>
          <w:szCs w:val="20"/>
          <w:lang w:val="en-US" w:eastAsia="zh-CN"/>
        </w:rPr>
        <w:t>服务器机柜前后门应采用不小于1.2mm厚度的优质板材加工，六角网孔设计，保证设备的有效散热，网孔门通孔率需不小于75%。</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9）</w:t>
      </w:r>
      <w:r>
        <w:rPr>
          <w:rFonts w:hint="eastAsia" w:ascii="Times New Roman" w:hAnsi="Times New Roman" w:cs="Times New Roman"/>
          <w:color w:val="000000"/>
          <w:sz w:val="24"/>
          <w:szCs w:val="20"/>
          <w:lang w:val="en-US" w:eastAsia="zh-CN"/>
        </w:rPr>
        <w:t>按照YD5083-2005《电信设备抗地震性能检测规范》要求，服务器机柜带载500kg测试连续通过8、9级烈度结构抗地震考核。</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cs="Times New Roman"/>
          <w:color w:val="000000"/>
          <w:sz w:val="24"/>
          <w:szCs w:val="20"/>
          <w:lang w:val="en-US" w:eastAsia="zh-CN"/>
        </w:rPr>
      </w:pPr>
      <w:r>
        <w:rPr>
          <w:rFonts w:hint="eastAsia" w:cs="Times New Roman"/>
          <w:color w:val="000000"/>
          <w:sz w:val="24"/>
          <w:szCs w:val="20"/>
          <w:lang w:val="en-US" w:eastAsia="zh-CN"/>
        </w:rPr>
        <w:t>10）</w:t>
      </w:r>
      <w:r>
        <w:rPr>
          <w:rFonts w:hint="eastAsia" w:ascii="Times New Roman" w:hAnsi="Times New Roman" w:cs="Times New Roman"/>
          <w:color w:val="000000"/>
          <w:sz w:val="24"/>
          <w:szCs w:val="20"/>
          <w:lang w:val="en-US" w:eastAsia="zh-CN"/>
        </w:rPr>
        <w:t>服务器机柜柜体应保证在长期承重情况下各部件不变形弯曲，静态承载能力不小于2400kg。</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bookmarkStart w:id="212" w:name="_Toc3202"/>
      <w:r>
        <w:rPr>
          <w:rFonts w:hint="eastAsia" w:cs="Times New Roman"/>
          <w:b/>
          <w:bCs/>
          <w:kern w:val="2"/>
          <w:sz w:val="24"/>
          <w:szCs w:val="24"/>
          <w:lang w:val="en-US" w:eastAsia="zh-CN" w:bidi="ar-SA"/>
        </w:rPr>
        <w:t>2、</w:t>
      </w:r>
      <w:r>
        <w:rPr>
          <w:rFonts w:hint="eastAsia" w:eastAsia="宋体" w:cs="宋体"/>
          <w:b/>
          <w:snapToGrid/>
          <w:kern w:val="2"/>
        </w:rPr>
        <w:t>封闭冷通道</w:t>
      </w:r>
      <w:r>
        <w:rPr>
          <w:rFonts w:hint="eastAsia" w:cs="宋体"/>
          <w:b/>
          <w:lang w:eastAsia="zh-CN"/>
        </w:rPr>
        <w:t>（</w:t>
      </w:r>
      <w:r>
        <w:rPr>
          <w:rFonts w:hint="eastAsia" w:cs="宋体"/>
          <w:b/>
          <w:lang w:val="en-US" w:eastAsia="zh-CN"/>
        </w:rPr>
        <w:t>甲供</w:t>
      </w:r>
      <w:r>
        <w:rPr>
          <w:rFonts w:hint="eastAsia" w:cs="宋体"/>
          <w:b/>
          <w:lang w:eastAsia="zh-CN"/>
        </w:rPr>
        <w:t>）</w:t>
      </w:r>
      <w:bookmarkEnd w:id="212"/>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1）密封通道由密封侧板、天窗系统、线槽系统、机柜尾部围板系统以及通道门组成。通过密闭组件实现通道的封闭，使冷气不外泄到其他区域，避免与热气流交换后的空气混合，提高模块制冷效率。</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2）密闭冷通道宽度为1200mm。</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3）密闭冷通道所有单元组件应采用具备良好耐磨、耐蚀性，精细加工，整体冲压成型，接缝整齐，安全耐用要求无松动现象，确保通道气流的密封性。</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密闭冷通道内信号灯、开关、测量显示装置应考虑安装及维护便利性，合理布局。通道内结构件排列合理、整齐，线缆颜色和截面合理、布放平整，接插件牢固，进出线符合工程需要，标牌、标记应平整清晰。</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密闭冷通道内结构件颜色要求与服务器机柜的颜色一致，整体协调，配合美观，在机房灯光下应无晕眩。表面应进行脱脂、酸洗、防锈磷化、纯水清洗、静电喷塑等处理，要求不脱漆、耐酸碱、耐溶剂、耐腐蚀、耐指纹不受手汗影响。表面处理应采用高硬度粉沫静电喷涂和高温烤漆处理工艺，表层外观表面应光洁、色泽均匀、无露底、无流积、无起泡、无裂纹、无橘皮、金属件要求无毛刺和锈蚀、应防静电。</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6）焊缝要求整齐均匀，不允许有裂缝、咬边、豁口，烧穿等缺陷，焊缝不能出现外表物夹渣、气孔、焊瘤，凹坑等缺陷，焊后进行打磨，表面粗糙度符合行业相关标准。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7）密闭天窗</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密闭天窗采用平顶结构，两端功能性天窗可安装摄像头、温湿度传感器、烟雾传感器等。天窗透光材质应使用覆膜钢化玻璃或有机玻璃，天窗应采用钢化玻璃材质，厚度不小于5mm。为保证通道亮度，满足机房照度要求，天窗玻璃面积占比应保证不小于90%，玻璃材质透光率应不小于90%。</w:t>
      </w:r>
    </w:p>
    <w:p>
      <w:pPr>
        <w:pageBreakBefore w:val="0"/>
        <w:widowControl w:val="0"/>
        <w:numPr>
          <w:ilvl w:val="0"/>
          <w:numId w:val="4"/>
        </w:numPr>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翻转天窗</w:t>
      </w:r>
    </w:p>
    <w:p>
      <w:pPr>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翻转天窗可固定、可翻转（由电磁锁自动控制开启）。天窗开启实现与通道内消防告警信号联动，在消防状态下电磁锁打开，翻转天窗在重力作用下自动打开，保证灭火气体进入密封冷通道。天窗透光材质应使用覆膜钢化玻璃或有机玻璃，天窗应采用钢化玻璃材质，厚度不小于5mm。为保证通道亮度，满足机房照度要求，天窗玻璃面积占比应保证不小于90%，玻璃材质透光率应不小于90%。</w:t>
      </w:r>
    </w:p>
    <w:p>
      <w:pPr>
        <w:pageBreakBefore w:val="0"/>
        <w:widowControl w:val="0"/>
        <w:numPr>
          <w:ilvl w:val="0"/>
          <w:numId w:val="4"/>
        </w:numPr>
        <w:kinsoku/>
        <w:wordWrap/>
        <w:overflowPunct/>
        <w:topLinePunct w:val="0"/>
        <w:autoSpaceDE/>
        <w:autoSpaceDN/>
        <w:bidi w:val="0"/>
        <w:adjustRightInd/>
        <w:snapToGrid w:val="0"/>
        <w:spacing w:line="500" w:lineRule="exact"/>
        <w:ind w:left="0" w:leftChars="0"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通道门</w:t>
      </w:r>
    </w:p>
    <w:p>
      <w:pPr>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通道组件前后端通道门应采用自动平移门。门板应采用整块钢化玻璃形式。采用整块钢化玻璃材质的，其钢化玻璃厚度应不小于8mm，以保证门板强度。</w:t>
      </w:r>
    </w:p>
    <w:p>
      <w:pPr>
        <w:pageBreakBefore w:val="0"/>
        <w:widowControl w:val="0"/>
        <w:numPr>
          <w:ilvl w:val="0"/>
          <w:numId w:val="4"/>
        </w:numPr>
        <w:kinsoku/>
        <w:wordWrap/>
        <w:overflowPunct/>
        <w:topLinePunct w:val="0"/>
        <w:autoSpaceDE/>
        <w:autoSpaceDN/>
        <w:bidi w:val="0"/>
        <w:adjustRightInd/>
        <w:snapToGrid w:val="0"/>
        <w:spacing w:line="500" w:lineRule="exact"/>
        <w:ind w:left="0" w:leftChars="0"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布线线槽</w:t>
      </w:r>
    </w:p>
    <w:p>
      <w:pPr>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布线线槽分为弱电线槽和强电线槽，分别用于信号线和电源线的布线。为保证走线装置的牢固性和耐用性，采用高强度优质碳素冷轧钢板材质，厚度不小于1.5mm。</w:t>
      </w:r>
    </w:p>
    <w:p>
      <w:pPr>
        <w:pageBreakBefore w:val="0"/>
        <w:widowControl w:val="0"/>
        <w:numPr>
          <w:ilvl w:val="0"/>
          <w:numId w:val="4"/>
        </w:numPr>
        <w:kinsoku/>
        <w:wordWrap/>
        <w:overflowPunct/>
        <w:topLinePunct w:val="0"/>
        <w:autoSpaceDE/>
        <w:autoSpaceDN/>
        <w:bidi w:val="0"/>
        <w:adjustRightInd/>
        <w:snapToGrid w:val="0"/>
        <w:spacing w:line="500" w:lineRule="exact"/>
        <w:ind w:left="0" w:leftChars="0"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通道照明</w:t>
      </w:r>
    </w:p>
    <w:p>
      <w:pPr>
        <w:pageBreakBefore w:val="0"/>
        <w:widowControl w:val="0"/>
        <w:numPr>
          <w:ilvl w:val="0"/>
          <w:numId w:val="0"/>
        </w:numPr>
        <w:kinsoku/>
        <w:wordWrap/>
        <w:overflowPunct/>
        <w:topLinePunct w:val="0"/>
        <w:autoSpaceDE/>
        <w:autoSpaceDN/>
        <w:bidi w:val="0"/>
        <w:adjustRightInd/>
        <w:snapToGrid w:val="0"/>
        <w:spacing w:line="500" w:lineRule="exact"/>
        <w:ind w:left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通道照明需采用智能照明系统，人来灯亮，人走灯灭。</w:t>
      </w:r>
    </w:p>
    <w:p>
      <w:pPr>
        <w:pageBreakBefore w:val="0"/>
        <w:widowControl w:val="0"/>
        <w:numPr>
          <w:ilvl w:val="0"/>
          <w:numId w:val="4"/>
        </w:numPr>
        <w:kinsoku/>
        <w:wordWrap/>
        <w:overflowPunct/>
        <w:topLinePunct w:val="0"/>
        <w:autoSpaceDE/>
        <w:autoSpaceDN/>
        <w:bidi w:val="0"/>
        <w:adjustRightInd/>
        <w:snapToGrid w:val="0"/>
        <w:spacing w:line="500" w:lineRule="exact"/>
        <w:ind w:left="0" w:leftChars="0"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门禁系统</w:t>
      </w:r>
    </w:p>
    <w:p>
      <w:pPr>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微模块通道两端应设置门禁系统，运维人员须通过识别身份方可进入微模块内部进行相应操作。门禁支持指纹、IC卡、密码、人脸等多种识别方式。</w:t>
      </w:r>
    </w:p>
    <w:p>
      <w:pPr>
        <w:pageBreakBefore w:val="0"/>
        <w:widowControl w:val="0"/>
        <w:numPr>
          <w:ilvl w:val="0"/>
          <w:numId w:val="0"/>
        </w:numPr>
        <w:kinsoku/>
        <w:wordWrap/>
        <w:overflowPunct/>
        <w:topLinePunct w:val="0"/>
        <w:autoSpaceDE/>
        <w:autoSpaceDN/>
        <w:bidi w:val="0"/>
        <w:adjustRightInd/>
        <w:snapToGrid w:val="0"/>
        <w:spacing w:line="500" w:lineRule="exact"/>
        <w:ind w:left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13）状态指示</w:t>
      </w:r>
    </w:p>
    <w:p>
      <w:pPr>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微模块应有明确的状态指示，可支持状态指示灯，与门禁及告警等级联动，红色表示识别失败，绿色表示识别成功。门框采用告警联动指示灯，需保证至少有4种颜色，且具备4种颜色指示灯灯光与告警指示联动功能，在微模块产生告警后可与灯光进行联动。能够与紧急告警、重要告警、一般告警、提示告警进行联动。</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bookmarkStart w:id="213" w:name="_Toc5140"/>
      <w:r>
        <w:rPr>
          <w:rFonts w:hint="eastAsia" w:cs="Times New Roman"/>
          <w:b/>
          <w:bCs/>
          <w:kern w:val="2"/>
          <w:sz w:val="24"/>
          <w:szCs w:val="24"/>
          <w:lang w:val="en-US" w:eastAsia="zh-CN" w:bidi="ar-SA"/>
        </w:rPr>
        <w:t>3、</w:t>
      </w:r>
      <w:r>
        <w:rPr>
          <w:rFonts w:hint="eastAsia" w:eastAsia="宋体" w:cs="宋体"/>
          <w:b/>
          <w:snapToGrid/>
          <w:kern w:val="2"/>
        </w:rPr>
        <w:t>列头柜</w:t>
      </w:r>
      <w:r>
        <w:rPr>
          <w:rFonts w:hint="eastAsia" w:cs="宋体"/>
          <w:b/>
          <w:lang w:eastAsia="zh-CN"/>
        </w:rPr>
        <w:t>（</w:t>
      </w:r>
      <w:r>
        <w:rPr>
          <w:rFonts w:hint="eastAsia" w:cs="宋体"/>
          <w:b/>
          <w:lang w:val="en-US" w:eastAsia="zh-CN"/>
        </w:rPr>
        <w:t>甲供</w:t>
      </w:r>
      <w:r>
        <w:rPr>
          <w:rFonts w:hint="eastAsia" w:cs="宋体"/>
          <w:b/>
          <w:lang w:eastAsia="zh-CN"/>
        </w:rPr>
        <w:t>）</w:t>
      </w:r>
      <w:bookmarkEnd w:id="213"/>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1）柜体尺寸：600×1200×2000mm(W×D×H)，颜色与服务器机柜保持一致。</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2）机柜应采用高强度A级优质碳素冷轧钢板和镀锌板，表面喷涂厚度应不小于60μm ,采用黑色砂纹工艺，满足防腐、防锈、光洁、色泽均匀、无流挂、不露底、无起泡、无裂纹、金属件无毛刺锈蚀要求。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3）配电要求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（1）单台列头柜应支持智能微模块内机柜PDU供电和精密空调供电。</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（2）IT输入配电：160A/3P×1。</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（3）IT输出配电：40A/1P×32。</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（4）精密空调输入配电：160A/3P×1。</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（5）精密空调输出配电：63A/3P×4。</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4）断路器要求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（1）塑壳断路器（MCCB）采用ABB、施耐德、西门子国际知名品牌，分断能力不能低于36kA。</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（2）微型断路器（MCB）采用ABB、施耐德、西门子国际知名品牌，分断能力不能低于6kA。</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5）柜体应带有智能监控板，需能够实现可视化界面，采用7寸液晶彩色触摸屏展示系统模拟图，系统模拟图可显示各开关和防雷器的实时状态，可显示所有主回路及支回路的电量信息。</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6）监测参数要求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（1）母线监测参数</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①三相输入电压、电流、频率、视在功率、有功功率、功率因数、谐波百分比、电量、三相不平衡度、零地电压、零线电流。</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②主路开关状态、负载百分比。</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③主回路电压、电流测量精度不低于0.5%，有功/视在功率测量精度不低于1%，电能测量精度不低于1%。</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（2）支路监测参数</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①支路额定电流、实际电流，支路负载百分比，支路开关状态，支路温度测量。</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②支路电压、电流测量精度不低于0.5%，有功/视在功率测量精度不低于2%，电能测量精度不低于2%。</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7）告警功能要求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支持LCD显示屏声光告警，触摸屏消音。告警信息应按照重要程度分为提示告警、重要告警和紧急告警三级。并满足以下报警要求：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①主路欠压、过压、缺相、输入开关脱扣、单路掉电报警、电流互感器接线错误告警。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②主路电流越限及超限告警，主回路过载告警及三相不平衡告警。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③主路频率越限告警，电压总谐波率高告警，电流总谐波率高告警。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④支路开关状态变化告警，过载告警，大电流冲击告警。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⑤支路电流两段阈值报警功能，且报警阈值可调。</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⑥监控模块故障及智能监控板内部通讯失败告警。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8）柜体应符合国家强制性产品认证。</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9）柜体通过9烈度抗震测试。</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bookmarkStart w:id="214" w:name="_Toc31016"/>
      <w:r>
        <w:rPr>
          <w:rFonts w:hint="eastAsia" w:cs="Times New Roman"/>
          <w:b/>
          <w:bCs/>
          <w:kern w:val="2"/>
          <w:sz w:val="24"/>
          <w:szCs w:val="24"/>
          <w:lang w:val="en-US" w:eastAsia="zh-CN" w:bidi="ar-SA"/>
        </w:rPr>
        <w:t>4、</w:t>
      </w:r>
      <w:r>
        <w:rPr>
          <w:rFonts w:hint="eastAsia" w:eastAsia="宋体" w:cs="宋体"/>
          <w:b/>
          <w:snapToGrid/>
          <w:kern w:val="2"/>
        </w:rPr>
        <w:t>列间精密空调</w:t>
      </w:r>
      <w:r>
        <w:rPr>
          <w:rFonts w:hint="eastAsia" w:cs="宋体"/>
          <w:b/>
          <w:lang w:eastAsia="zh-CN"/>
        </w:rPr>
        <w:t>（</w:t>
      </w:r>
      <w:r>
        <w:rPr>
          <w:rFonts w:hint="eastAsia" w:cs="宋体"/>
          <w:b/>
          <w:lang w:val="en-US" w:eastAsia="zh-CN"/>
        </w:rPr>
        <w:t>甲供</w:t>
      </w:r>
      <w:r>
        <w:rPr>
          <w:rFonts w:hint="eastAsia" w:cs="宋体"/>
          <w:b/>
          <w:lang w:eastAsia="zh-CN"/>
        </w:rPr>
        <w:t>）</w:t>
      </w:r>
      <w:bookmarkEnd w:id="214"/>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1）列间精密空调尺寸：300×1200×2000mm(W×D×H)，颜色与服务器机柜保持一致。总冷量≥35kW，显冷量≥35kW，风速≥6000 m</w:t>
      </w:r>
      <w:r>
        <w:rPr>
          <w:rFonts w:hint="eastAsia" w:cs="Times New Roman"/>
          <w:color w:val="000000"/>
          <w:sz w:val="24"/>
          <w:szCs w:val="20"/>
          <w:vertAlign w:val="superscript"/>
          <w:lang w:val="en-US" w:eastAsia="zh-CN"/>
        </w:rPr>
        <w:t>3</w:t>
      </w:r>
      <w:r>
        <w:rPr>
          <w:rFonts w:hint="eastAsia" w:cs="Times New Roman"/>
          <w:color w:val="000000"/>
          <w:sz w:val="24"/>
          <w:szCs w:val="20"/>
          <w:lang w:val="en-US" w:eastAsia="zh-CN"/>
        </w:rPr>
        <w:t>/h，加湿量≥1.5kg/h，加热量≥4kW，水平送风。</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2）精密空调采用环保高效的R410A制冷剂。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3）精密空调应能按要求自动调节室内温、湿度，具有制冷、加热、加湿、除湿等功能。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①温度调节范围：+18℃~ +45℃。</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②温度调节精度：±1℃，温度变化率&lt; 5℃/小时。</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③湿度调节范围：20% ~ 80%RH。</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④湿度调节精度：±5 %RH。</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⑤温、湿度波动超限应能发出报警信号。</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4）精密空调室内机应由直流变频压缩机、蒸发器、EC风机、控制器、电子膨胀阀、油分、视液镜、干燥过滤器、加湿器和加热器等主要部件组成。</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5）精密空调可支持制冷量20%~100%无级调节，按需输出冷量，大幅降低能耗。</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6）精密空调具有低载除湿功能，可以实现最低20%的IT负载及95%以上室内高湿度的情况下的稳定除湿功能，降低高湿环境下数据中心低载运行的IT设备结露风险。</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7）精密空调应采用PTC电加热器，作低温热补偿用，提高系统可靠性，加热量不小于4kW。</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8）精密空调应采用节能型的加湿器，具备等焓加湿能力且空调最大加湿功耗需小于50W，具备显著的节能效果，加湿量不小于1.5kg/h。</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9）电子膨胀阀驱动自带储能单元，异常断电可以正常关闭，防止冷媒异常迁移，造成再开机后的压缩机带液启动等风险。</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10）精密空调可对冷媒容量进行自动检测并能在冷媒泄漏量超过阈值时产生制冷剂不足告警，避免由于制冷剂不足导致空调宕机或者制冷能力下降使模块产生局部热点。</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11）精密空调采用高效“V”型蒸发器，采用内螺纹铜管和蓝色亲水铝箔设计。</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12）精密空调具备不低于6kV防雷滤波规格，在极端浪涌条件下更加安全可靠。</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13）采用高效节能无级调速EC风机，数量≥10，可在线插拔式维护，风机更换不需停机。室内风机整体采用N+1冗余备份设计，当一台风机故障时，机组风量和制冷量不衰减。</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14）室内机的强电控盒和压缩机驱动采用整体抽拉式维护模式，最大限度降低维护难度。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15）G4标准，滤网可反复清洗和更换，空气过滤器应具有脏堵检测及报警功能。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16）精密空调控制器采用不小于7寸LCD触摸真彩屏，人机交互好，界面生动，操作简单灵活，图形化显示机组内各组件运行状态的功能。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17）精密空调具有FE接口或RS485通讯接口，对系统进行远程巡检和参数的设置，并提供Modbus和SNMP开放协议，以接入机房环境监控系统进行远程管理。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18）精密空调符合8~9级抗震要求。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19）精密空调具有泰尔或CRAA产品认证，以及CE、CQC认证。</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eastAsia" w:ascii="Times New Roman" w:hAnsi="Times New Roman" w:eastAsia="宋体" w:cs="Times New Roman"/>
          <w:b/>
          <w:bCs/>
          <w:kern w:val="2"/>
          <w:sz w:val="24"/>
          <w:szCs w:val="24"/>
          <w:lang w:val="en-US" w:eastAsia="zh-CN" w:bidi="ar-SA"/>
        </w:rPr>
      </w:pPr>
      <w:bookmarkStart w:id="215" w:name="_Toc29700"/>
      <w:r>
        <w:rPr>
          <w:rFonts w:hint="eastAsia" w:ascii="Times New Roman" w:hAnsi="Times New Roman" w:eastAsia="宋体" w:cs="Times New Roman"/>
          <w:b/>
          <w:bCs/>
          <w:kern w:val="2"/>
          <w:sz w:val="24"/>
          <w:szCs w:val="24"/>
          <w:lang w:val="en-US" w:eastAsia="zh-CN" w:bidi="ar-SA"/>
        </w:rPr>
        <w:t>5、房间精密空调</w:t>
      </w:r>
      <w:r>
        <w:rPr>
          <w:rFonts w:hint="eastAsia" w:cs="宋体"/>
          <w:b/>
          <w:lang w:eastAsia="zh-CN"/>
        </w:rPr>
        <w:t>（</w:t>
      </w:r>
      <w:r>
        <w:rPr>
          <w:rFonts w:hint="eastAsia" w:cs="宋体"/>
          <w:b/>
          <w:lang w:val="en-US" w:eastAsia="zh-CN"/>
        </w:rPr>
        <w:t>甲供</w:t>
      </w:r>
      <w:r>
        <w:rPr>
          <w:rFonts w:hint="eastAsia" w:cs="宋体"/>
          <w:b/>
          <w:lang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1）电池室内设置房间级精密空调，总冷量≥13kW，显冷量≥11.7kW，风速≥3100m³/h，上送风。</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2）精密空调能按要求自动调节室内温、湿度，具有制冷、除湿等功能。温度调节范围：+18℃~ +32℃，湿度调节范围：20% ~ 80%RH，温、湿度波动超限应能发出报警信号。</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3）精密空调可支持制冷量30%~100%无级调节，按需输出冷量，大幅降低能耗。</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4）精密空调采用环保高效的R410A制冷剂。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5）精密空调具备不低于6kV防雷滤波规格，在极端浪涌条件下更加安全可靠。</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6）精密空调采用高效节能无级调速EC风机，实现无极调速，降低风机能效。</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7）精密空调控制器采用不小于3.2寸LCD触摸真彩屏，人机交互好，界面生动，操作简单灵活，图形化显示机组内各组件运行状态的功能。支持温湿度曲线显示。</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8）精密空调应具有RS485接口，对系统进行远程巡检和参数的设置，提供Modbus协议，接入管理系统。</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r>
        <w:rPr>
          <w:rFonts w:hint="eastAsia" w:cs="Times New Roman"/>
          <w:b/>
          <w:bCs/>
          <w:kern w:val="2"/>
          <w:sz w:val="24"/>
          <w:szCs w:val="24"/>
          <w:lang w:val="en-US" w:eastAsia="zh-CN" w:bidi="ar-SA"/>
        </w:rPr>
        <w:t>6、</w:t>
      </w:r>
      <w:r>
        <w:rPr>
          <w:rFonts w:hint="eastAsia" w:eastAsia="宋体" w:cs="宋体"/>
          <w:b/>
          <w:snapToGrid/>
          <w:kern w:val="2"/>
        </w:rPr>
        <w:t>模块化UPS</w:t>
      </w:r>
      <w:r>
        <w:rPr>
          <w:rFonts w:hint="eastAsia" w:cs="宋体"/>
          <w:b/>
          <w:lang w:eastAsia="zh-CN"/>
        </w:rPr>
        <w:t>（</w:t>
      </w:r>
      <w:r>
        <w:rPr>
          <w:rFonts w:hint="eastAsia" w:cs="宋体"/>
          <w:b/>
          <w:lang w:val="en-US" w:eastAsia="zh-CN"/>
        </w:rPr>
        <w:t>甲供</w:t>
      </w:r>
      <w:r>
        <w:rPr>
          <w:rFonts w:hint="eastAsia" w:cs="宋体"/>
          <w:b/>
          <w:lang w:eastAsia="zh-CN"/>
        </w:rPr>
        <w:t>）</w:t>
      </w:r>
      <w:bookmarkEnd w:id="215"/>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UPS为高频模块机，三进三出，在线双变换式，机架容量不小于200kVA，本次配置不小于200KVA，功率模块不小于50kVA，并支持热插拔，当功率模块故障时，应及时退出系统而不能影响其他模块正常工作，不允许输出中断。</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2）UPS功率模块内一个风扇异常时，模块可以继续工作，并可带50%负载。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3）UPS功率模块、旁路模块、监控模块均支持热插拔。</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4）为保证旁路抗冲击能力及扩容要求，应采用统一的集中静态旁路模块。</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5）UPS配有不小于7寸彩色触摸控制屏，可实时监控和显示UPS的工作状态。</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6）输入电压范围：140-480VAC。</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7）输入频率范围：40Hz-70Hz。</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8）输入功率因数：＞0.99（50%、100%负载）并提供泰尔认证测试报告证明。</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9）输入电流失真：&lt;2%（100%负载）并提供泰尔认证测试报告证明。</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10）输出电压范围：380VAC/400VAC/415VAC±1%。</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11）输出频率范围：同步状态下，跟踪旁路输入（市电模式），50/60Hz（电池模式）。</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12）输出电压波形失真度：&lt;1%(线性负载），&lt;2%(非线性负载）并提供泰尔认证测试报告。</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13）输出电压不平衡度：&lt;1%（平衡负载）。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14）输出功率因数：1。</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15）逆变过载能力105%&lt;负载≤110%时，60min后转旁路，110%&lt;负载≤125%时，10min后转旁路，125%&lt;负载≤150%时，1min后转旁路。</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16）系统效率≥94.5%（100%负载）；≥96%（50%负载）。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17）采用5kA防雷设计和6kV防浪涌设计，提高可靠性。</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18）UPS具有定期对电池组进行自动浮充、均充转换、自动温度补偿、电池组放电及记录功能；监控故障时，具有对电池组限流恒压充电功能，电池充电限流值可调节。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19）UPS具有交流输入过、欠电压保护，输出短路保护，过载保护，过温度保护，电池电压低保护，输出过欠压保护，系统熔断器（或断路器）保护。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20）UPS系统在各种保护功能动作的同时，能自动发出声光告警，同时能通过通信接口将告警信号传送到近端、远端的监控设备上。</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21）UPS系统具有告警记录和查询功能，告警记录可随时刷新；告警信息在系统完全无电状态下应继续保存；告警记录不可删除。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22）UPS系统标配SNMP卡、干接点卡，支持干接点、RS485、Modbus、SNMP等通讯协议，可根据不同需求轻松组网，管理简单。</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23）UPS需通过节能认证。</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24）UPS具有CE认证。</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bookmarkStart w:id="216" w:name="_Toc27869"/>
      <w:r>
        <w:rPr>
          <w:rFonts w:hint="eastAsia" w:cs="Times New Roman"/>
          <w:b/>
          <w:bCs/>
          <w:kern w:val="2"/>
          <w:sz w:val="24"/>
          <w:szCs w:val="24"/>
          <w:lang w:val="en-US" w:eastAsia="zh-CN" w:bidi="ar-SA"/>
        </w:rPr>
        <w:t>7、</w:t>
      </w:r>
      <w:r>
        <w:rPr>
          <w:rFonts w:hint="eastAsia" w:eastAsia="宋体" w:cs="宋体"/>
          <w:b/>
          <w:snapToGrid/>
          <w:kern w:val="2"/>
        </w:rPr>
        <w:t>铅酸蓄电池</w:t>
      </w:r>
      <w:bookmarkEnd w:id="216"/>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本项目总计配置3组铅酸蓄电池，配合模块化UPS共同使用，支持负载按照100kW计算，后备时间1.5小时。</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1）单组铅酸蓄电池包含1个电池架，40节12V-200AH铅酸蓄电池，1套电池间连接线。</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2）蓄电池间连接条、终端接头应选择导电性能优良的材料，并具有防腐蚀措施。蓄电池槽、盖等材料应具有阻燃性，其阻燃标准应符合GB/T2408-2008中的FH－1和FV－0的阻燃等级要求。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3）蓄电池在使用期间安全阀应自动开启闭合，闭阀压力应在10kPa～49kPa范围内，开阀压力应在10kPa～49kPa范围内。</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4）蓄电池除安全阀外，应能承受50kPa的正压或负压而不破裂、不开胶，压力释放后壳体无残余变形。</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5）蓄电池应具有很强的耐过充能力和过充寿命。以0.3I10电流连续充电160h后，外观应无明显变形及渗液。</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6）本项目3组铅酸蓄电池组配置一个电池开关汇流盒，电池由汇流盒汇总，统一接入UPS。</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bookmarkStart w:id="217" w:name="_Toc20217"/>
      <w:r>
        <w:rPr>
          <w:rFonts w:hint="eastAsia" w:cs="Times New Roman"/>
          <w:b/>
          <w:bCs/>
          <w:kern w:val="2"/>
          <w:sz w:val="24"/>
          <w:szCs w:val="24"/>
          <w:lang w:val="en-US" w:eastAsia="zh-CN" w:bidi="ar-SA"/>
        </w:rPr>
        <w:t>8、</w:t>
      </w:r>
      <w:r>
        <w:rPr>
          <w:rFonts w:hint="eastAsia" w:eastAsia="宋体" w:cs="宋体"/>
          <w:b/>
          <w:snapToGrid/>
          <w:kern w:val="2"/>
        </w:rPr>
        <w:t>互投输入柜</w:t>
      </w:r>
      <w:bookmarkEnd w:id="217"/>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1）互投输入柜柜体深度和高度应和模块化UPS一致，并排放置美观。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2）配电要求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总输入：400A ATS双路总输入。</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输出：400A整定到320A/3P×2、250A/3P×1、63A/3P×2、32A/3P×2、40A/P×3、16A/P×3等。</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3）柜体应采用高强度A级优质碳素冷轧钢板和镀锌板，表面喷涂厚度应不小于60μm，采用黑色砂纹工艺，满足防腐、防锈、光洁、色泽均匀、无流挂、不露底、无起泡、无裂纹、金属件无毛刺锈蚀要求。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4）断路器要求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①塑壳断路器（MCCB）采用ABB、施耐德、西门子国际知名品牌，分断能力不能低于36KA。</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②微型断路器（MCB）采用ABB、施耐德、西门子国际知名品牌,分断能力不能低于6KA。</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5）柜体应带有智能监控板，需能够实现可视化界面，采用7寸液晶彩色触摸屏展示系统模拟图，系统模拟图可显示各开关和防雷器的实时状态，可显示所有主回路及支回路的电量信息。</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eastAsia" w:ascii="Times New Roman" w:hAnsi="Times New Roman" w:eastAsia="宋体" w:cs="Times New Roman"/>
          <w:b/>
          <w:bCs/>
          <w:kern w:val="2"/>
          <w:sz w:val="24"/>
          <w:szCs w:val="24"/>
          <w:lang w:val="en-US" w:eastAsia="zh-CN" w:bidi="ar-SA"/>
        </w:rPr>
      </w:pPr>
      <w:bookmarkStart w:id="218" w:name="_Toc26589"/>
      <w:r>
        <w:rPr>
          <w:rFonts w:hint="eastAsia" w:cs="Times New Roman"/>
          <w:b/>
          <w:bCs/>
          <w:kern w:val="2"/>
          <w:sz w:val="24"/>
          <w:szCs w:val="24"/>
          <w:lang w:val="en-US" w:eastAsia="zh-CN" w:bidi="ar-SA"/>
        </w:rPr>
        <w:t>9、</w:t>
      </w:r>
      <w:r>
        <w:rPr>
          <w:rFonts w:hint="eastAsia" w:ascii="Times New Roman" w:hAnsi="Times New Roman" w:eastAsia="宋体" w:cs="Times New Roman"/>
          <w:b/>
          <w:bCs/>
          <w:kern w:val="2"/>
          <w:sz w:val="24"/>
          <w:szCs w:val="24"/>
          <w:lang w:val="en-US" w:eastAsia="zh-CN" w:bidi="ar-SA"/>
        </w:rPr>
        <w:t>UPS输出柜</w:t>
      </w:r>
      <w:bookmarkEnd w:id="218"/>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1）UPS输出柜柜体深度和高度应和模块化UPS一致，并排放置美观。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2）配电要求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①总输入：400A整定到280A/3P×2。</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②输出：250A/3P、50A/3P、16A/2P×30。</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3）柜体应采用高强度A级优质碳素冷轧钢板和镀锌板，表面喷涂厚度应不小于60μm，采用黑色砂纹工艺，满足防腐、防锈、光洁、色泽均匀、无流挂、不露底、无起泡、无裂纹、金属件无毛刺锈蚀要求。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4）断路器要求：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①塑壳断路器（MCCB）采用ABB、施耐德、西门子国际知名品牌，分断能力不能低于36KA。</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②微型断路器（MCB）采用ABB、施耐德、西门子国际知名品牌，分断能力不能低于6KA。</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5）柜体应带有智能监控板，需能够实现可视化界面，采用7寸液晶彩色触摸屏展示系统模拟图，系统模拟图可显示各开关和防雷器的实时状态，可显示所有主回路及支回路的电量信息。</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eastAsia" w:cs="Times New Roman"/>
          <w:b/>
          <w:bCs/>
          <w:kern w:val="2"/>
          <w:sz w:val="24"/>
          <w:szCs w:val="24"/>
          <w:lang w:val="en-US" w:eastAsia="zh-CN" w:bidi="ar-SA"/>
        </w:rPr>
      </w:pPr>
      <w:bookmarkStart w:id="219" w:name="_Toc12277"/>
      <w:r>
        <w:rPr>
          <w:rFonts w:hint="eastAsia" w:cs="Times New Roman"/>
          <w:b/>
          <w:bCs/>
          <w:kern w:val="2"/>
          <w:sz w:val="24"/>
          <w:szCs w:val="24"/>
          <w:lang w:val="en-US" w:eastAsia="zh-CN" w:bidi="ar-SA"/>
        </w:rPr>
        <w:t>10、管理系统</w:t>
      </w:r>
      <w:r>
        <w:rPr>
          <w:rFonts w:hint="eastAsia" w:cs="宋体"/>
          <w:b/>
          <w:lang w:eastAsia="zh-CN"/>
        </w:rPr>
        <w:t>（</w:t>
      </w:r>
      <w:r>
        <w:rPr>
          <w:rFonts w:hint="eastAsia" w:cs="宋体"/>
          <w:b/>
          <w:lang w:val="en-US" w:eastAsia="zh-CN"/>
        </w:rPr>
        <w:t>甲供</w:t>
      </w:r>
      <w:r>
        <w:rPr>
          <w:rFonts w:hint="eastAsia" w:cs="宋体"/>
          <w:b/>
          <w:lang w:eastAsia="zh-CN"/>
        </w:rPr>
        <w:t>）</w:t>
      </w:r>
      <w:bookmarkEnd w:id="219"/>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1）控制机房设置管理系统，实现对所有基础设施设备，包括动力、环境、视频、门禁等设备进行集中监控和管理，发现部件故障或参数异常，即时采取颜色、E-mail、短信、声音等多种报警方式。</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2）控制机房管理系统应该为B/S架构，在网络的任何位置，均能够通过浏览器进行实时访问，同时需具备友好的操作界面，能够支持中、英文环境。</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3）出于信息安全考虑，管理系统应配备专业的高性能服务器，不得采用普通PC或工控机等低规格设备。</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4）管理系统应监控精密空调、UPS、配电柜、电池等。支持在远端控制精密空调机的启动、停止，或者改变温度与湿度的设定值，并可以查看动力设备的运行状态、运行参数、告警信息等参数的实时数据。</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5）控制机房内设置温湿度传感器、水浸等传感器，支持查看机房或模块内的温湿度等参数的实时数据。</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6）管理系统应设置摄像机、NVR。支持查看机房或模块内的实时情况，视频信息的存储、回放。存储时间不低于90天。</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7）软件功能要求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①机房视图：系统能够通过视图展示机房布局。系统提供组态工具，根据机房实际布局进行视图设计并支持用户自定义更改。</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②配电视图：系统提供机房配电拓扑设计功能，可以通过自定义的设计，构建机房的配电系统图。同时，配电系统图中各重要节点能够与实际设备相关联，直接显示重要电气参数。</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③制冷视图：系统支持通过制冷组件，构建制冷系统拓扑设计，从而达到制冷系统连接关系的直观展示，系统支持制冷系统中冷量的关键测点定制，以及测量参数绑定。</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④设备视图：系统应具备关键设备（如精密空调、精密配电柜等）的设备展示视图。要求在单一设备视图中应能显示出设备的逻辑图（如配电柜的电气图）、关键指标参数、关键告警信息以及关键参数的实时曲线。</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⑤报表管理：管理系统须带有报表功能，实现报表管理。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⑥3D视图</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具有2D/3D展示微模块的整体布局的功能，包括配电、制冷、IT机柜、监控部件相对位置；</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具备告警关联渲染，点击后应能够显示详细告警信息；</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可以通过布局图进入对应的设备，查看设备的详细信息：配电信息、空调信息、IT机柜信息；</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支持在同一个浏览器窗口中查看机房的2D、3D视图，并支持一键切换2D/3D视图，在现有的监控服务器之外不需要配置专用的3D服务器。提供第三方测试报告。</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⑦移动运维：通过手机APP客户端可对数据机房设备和环境参数进行实时监测支持，至少支持Android 4.0以上的主流智能手机。</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⑧管理系统具有著作权证书。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8）微模块提供一个整体的环境和动力监控接口，实现对模块内供配电、空调、温湿度、漏水检测、烟雾、视频等设备的不间断监控，发现部件故障或参数异常，即时采取颜色、E-mail、SMS和声音告警等多种报警方式，记录历史数据和报警事件，所有监控信息提供标准的北向SNMP接口给管理平台集成接入。</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9）为提升监控系统可靠性，微模块内智能节点信号传输和传感器供电全部采用Ethernet环形总线组网，需提供微模块监控系统组网图。</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10）为保证系统通讯和供电的可靠性，微模块内管理系统通信总线具备容错能力，单点故障应不影响其他设备；管理系统电源总线应具有热备份，具备支持热插拔，在线更换功能。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11）采集器要求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①支持两路交流输入。</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②具备本地存储功能，固态硬盘≥2G。</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③支持Default一键复位，恢复默认IP地址。</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④支持SIM卡短信告警功能。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⑤支持蜂鸣器现场告警。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⑥支持配电、精密空调、温湿度等历史数据和告警统计，储存时间不少于15天。</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Times New Roman"/>
          <w:color w:val="000000"/>
          <w:sz w:val="24"/>
          <w:szCs w:val="20"/>
          <w:lang w:val="en-US" w:eastAsia="zh-CN"/>
        </w:rPr>
      </w:pPr>
      <w:r>
        <w:rPr>
          <w:rFonts w:hint="eastAsia" w:cs="Times New Roman"/>
          <w:color w:val="000000"/>
          <w:sz w:val="24"/>
          <w:szCs w:val="20"/>
          <w:lang w:val="en-US" w:eastAsia="zh-CN"/>
        </w:rPr>
        <w:t>⑦支持至少2路WAN接入，至少2路LAN接入，4路RS485接口，5路AI/DI接口，1路DO接口，48V和12V电源输出。</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eastAsia" w:ascii="Times New Roman" w:hAnsi="Times New Roman" w:eastAsia="宋体" w:cs="Times New Roman"/>
          <w:b/>
          <w:bCs/>
          <w:kern w:val="2"/>
          <w:sz w:val="24"/>
          <w:szCs w:val="24"/>
          <w:lang w:val="en-US" w:eastAsia="zh-CN" w:bidi="ar-SA"/>
        </w:rPr>
      </w:pPr>
      <w:bookmarkStart w:id="220" w:name="_Toc28179"/>
      <w:r>
        <w:rPr>
          <w:rFonts w:hint="eastAsia" w:ascii="Times New Roman" w:hAnsi="Times New Roman" w:eastAsia="宋体" w:cs="Times New Roman"/>
          <w:b/>
          <w:bCs/>
          <w:kern w:val="2"/>
          <w:sz w:val="24"/>
          <w:szCs w:val="24"/>
          <w:lang w:val="en-US" w:eastAsia="zh-CN" w:bidi="ar-SA"/>
        </w:rPr>
        <w:t>11、防雷</w:t>
      </w:r>
      <w:bookmarkEnd w:id="220"/>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1）控制机房设置防感应雷和雷击电磁脉冲的防雷措施，防护对象有配电柜、机房网络设备，并参照《建筑物防雷设计规范》GB50057-2010，《建筑物电子信息系统防雷技术规范》GB50343-2012建设。</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2）控制机房电子信息系统的雷电防护等级为A级。</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3）本工程电子信息系统、电气系统设备采用SPD保护，SPD设置在需要保护的电气设备处。</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bookmarkStart w:id="221" w:name="_Toc17532"/>
      <w:r>
        <w:rPr>
          <w:rFonts w:hint="eastAsia" w:ascii="Times New Roman" w:hAnsi="Times New Roman" w:eastAsia="宋体" w:cs="Times New Roman"/>
          <w:b/>
          <w:bCs/>
          <w:kern w:val="2"/>
          <w:sz w:val="24"/>
          <w:szCs w:val="24"/>
          <w:lang w:val="en-US" w:eastAsia="zh-CN" w:bidi="ar-SA"/>
        </w:rPr>
        <w:t>12、接地</w:t>
      </w:r>
      <w:bookmarkEnd w:id="221"/>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1）控制机房保护性接地和功能性接地共用一组接地装置，其接地电阻不大于1Ω。控制机房内所有设备的金属外壳、各类金属管道、金属线槽、建筑物金属结构必须进行等电位联结并接地。等电位连接网格应采用截面积不小于25mm</w:t>
      </w:r>
      <w:r>
        <w:rPr>
          <w:rFonts w:hint="eastAsia" w:ascii="Times New Roman" w:hAnsi="Times New Roman" w:eastAsia="宋体" w:cs="Times New Roman"/>
          <w:color w:val="000000"/>
          <w:sz w:val="24"/>
          <w:szCs w:val="20"/>
          <w:vertAlign w:val="superscript"/>
          <w:lang w:val="en-US" w:eastAsia="zh-CN"/>
        </w:rPr>
        <w:t>2</w:t>
      </w:r>
      <w:r>
        <w:rPr>
          <w:rFonts w:hint="eastAsia" w:ascii="Times New Roman" w:hAnsi="Times New Roman" w:eastAsia="宋体" w:cs="Times New Roman"/>
          <w:color w:val="000000"/>
          <w:sz w:val="24"/>
          <w:szCs w:val="20"/>
          <w:lang w:val="en-US" w:eastAsia="zh-CN"/>
        </w:rPr>
        <w:t>的铜带，并应在防静电地板下构成边长为0.6m~3m的矩形网格。控制机房地板设置静电泄放措施和接地系统，防静电地板表面电阻应为2.5×10</w:t>
      </w:r>
      <w:r>
        <w:rPr>
          <w:rFonts w:hint="eastAsia" w:ascii="Times New Roman" w:hAnsi="Times New Roman" w:eastAsia="宋体" w:cs="Times New Roman"/>
          <w:color w:val="000000"/>
          <w:sz w:val="24"/>
          <w:szCs w:val="20"/>
          <w:vertAlign w:val="superscript"/>
          <w:lang w:val="en-US" w:eastAsia="zh-CN"/>
        </w:rPr>
        <w:t>4</w:t>
      </w:r>
      <w:r>
        <w:rPr>
          <w:rFonts w:hint="eastAsia" w:ascii="Times New Roman" w:hAnsi="Times New Roman" w:eastAsia="宋体" w:cs="Times New Roman"/>
          <w:color w:val="000000"/>
          <w:sz w:val="24"/>
          <w:szCs w:val="20"/>
          <w:lang w:val="en-US" w:eastAsia="zh-CN"/>
        </w:rPr>
        <w:t>Ω~1.0×10</w:t>
      </w:r>
      <w:r>
        <w:rPr>
          <w:rFonts w:hint="eastAsia" w:ascii="Times New Roman" w:hAnsi="Times New Roman" w:eastAsia="宋体" w:cs="Times New Roman"/>
          <w:color w:val="000000"/>
          <w:sz w:val="24"/>
          <w:szCs w:val="20"/>
          <w:vertAlign w:val="superscript"/>
          <w:lang w:val="en-US" w:eastAsia="zh-CN"/>
        </w:rPr>
        <w:t>4</w:t>
      </w:r>
      <w:r>
        <w:rPr>
          <w:rFonts w:hint="eastAsia" w:ascii="Times New Roman" w:hAnsi="Times New Roman" w:eastAsia="宋体" w:cs="Times New Roman"/>
          <w:color w:val="000000"/>
          <w:sz w:val="24"/>
          <w:szCs w:val="20"/>
          <w:lang w:val="en-US" w:eastAsia="zh-CN"/>
        </w:rPr>
        <w:t>Ω，并具有防火、环保、耐污、耐磨性能。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2）机房接地采用30×3mm铜排布置在设备附近，需直流接地的计算机设备采用铜带或软线以最短距离与接地铜排相连。机房活动地板下采用50×0.5mm铜箔布成等电位接地网格，网格间距1.2m×1.2m，并与均压等电位带相连。</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3）沿机房四周设置均压等电位带即30×3mm铜带在活动地板下成环状，金属吊顶板、金属龙骨、金属壁板、不锈钢玻璃隔墙的金属框架等也用导线与其连接，均压等电位带与预留接地体连接。并且每一连续金属框架的支线连接点不少于两处。</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4）为防止感应雷、侧击雷沿电源线进入机房及机房内设备的操作过电压引起的浪涌电压损坏机房内的重要设备，在电源配电柜上加设浪涌过电压抑制装置，同时各弱电系统信号线均要求设置信号类过电压保护器。</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5）控制机房内所有非带电的金属材料及设备金属外壳均就近接地，采用6mm</w:t>
      </w:r>
      <w:r>
        <w:rPr>
          <w:rFonts w:hint="eastAsia" w:ascii="Times New Roman" w:hAnsi="Times New Roman" w:eastAsia="宋体" w:cs="Times New Roman"/>
          <w:color w:val="000000"/>
          <w:sz w:val="24"/>
          <w:szCs w:val="20"/>
          <w:vertAlign w:val="superscript"/>
          <w:lang w:val="en-US" w:eastAsia="zh-CN"/>
        </w:rPr>
        <w:t>2</w:t>
      </w:r>
      <w:r>
        <w:rPr>
          <w:rFonts w:hint="eastAsia" w:ascii="Times New Roman" w:hAnsi="Times New Roman" w:eastAsia="宋体" w:cs="Times New Roman"/>
          <w:color w:val="000000"/>
          <w:sz w:val="24"/>
          <w:szCs w:val="20"/>
          <w:lang w:val="en-US" w:eastAsia="zh-CN"/>
        </w:rPr>
        <w:t>铜导体与地板下铜箔做的1200mm×1200mm网格状等电位接地网可靠连接。服务器机柜壳体均采用两条6mm</w:t>
      </w:r>
      <w:r>
        <w:rPr>
          <w:rFonts w:hint="eastAsia" w:ascii="Times New Roman" w:hAnsi="Times New Roman" w:eastAsia="宋体" w:cs="Times New Roman"/>
          <w:color w:val="000000"/>
          <w:sz w:val="24"/>
          <w:szCs w:val="20"/>
          <w:vertAlign w:val="superscript"/>
          <w:lang w:val="en-US" w:eastAsia="zh-CN"/>
        </w:rPr>
        <w:t>2</w:t>
      </w:r>
      <w:r>
        <w:rPr>
          <w:rFonts w:hint="eastAsia" w:ascii="Times New Roman" w:hAnsi="Times New Roman" w:eastAsia="宋体" w:cs="Times New Roman"/>
          <w:color w:val="000000"/>
          <w:sz w:val="24"/>
          <w:szCs w:val="20"/>
          <w:lang w:val="en-US" w:eastAsia="zh-CN"/>
        </w:rPr>
        <w:t>铜导体对角不等长与地板下铜箔做的1200mm×1200mm网格状等电位接地网可靠连接。</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bookmarkStart w:id="222" w:name="_Toc160444196"/>
      <w:r>
        <w:rPr>
          <w:rFonts w:hint="eastAsia" w:ascii="Times New Roman" w:hAnsi="Times New Roman" w:eastAsia="宋体" w:cs="Times New Roman"/>
          <w:b/>
          <w:bCs/>
          <w:kern w:val="2"/>
          <w:sz w:val="24"/>
          <w:szCs w:val="24"/>
          <w:lang w:val="en-US" w:eastAsia="zh-CN" w:bidi="ar-SA"/>
        </w:rPr>
        <w:t>13、给排水</w:t>
      </w:r>
      <w:bookmarkEnd w:id="222"/>
      <w:r>
        <w:rPr>
          <w:rFonts w:hint="eastAsia" w:ascii="Times New Roman" w:hAnsi="Times New Roman" w:eastAsia="宋体" w:cs="Times New Roman"/>
          <w:b/>
          <w:bCs/>
          <w:kern w:val="2"/>
          <w:sz w:val="24"/>
          <w:szCs w:val="24"/>
          <w:lang w:val="en-US" w:eastAsia="zh-CN" w:bidi="ar-SA"/>
        </w:rPr>
        <w:t>管路</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1）控制机房加湿设置上水管，上水管采用De20PPR管，引自卫生间，走廊走天花板内，进入机房地板下，设置截止阀，分支管接入空调上水口。</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2）控制机房排水管主管采用De32PPR，沿建筑外墙接入卫生间排水管主管。支管采用De25PPR管。</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3）上下水管均作保温。</w:t>
      </w:r>
    </w:p>
    <w:p>
      <w:pPr>
        <w:keepNext/>
        <w:keepLines/>
        <w:pageBreakBefore w:val="0"/>
        <w:widowControl w:val="0"/>
        <w:kinsoku/>
        <w:wordWrap/>
        <w:overflowPunct/>
        <w:topLinePunct w:val="0"/>
        <w:autoSpaceDE/>
        <w:autoSpaceDN/>
        <w:bidi w:val="0"/>
        <w:adjustRightInd/>
        <w:spacing w:before="0" w:after="0" w:line="500" w:lineRule="exact"/>
        <w:ind w:firstLine="482" w:firstLineChars="200"/>
        <w:jc w:val="both"/>
        <w:textAlignment w:val="auto"/>
        <w:outlineLvl w:val="1"/>
        <w:rPr>
          <w:rFonts w:hint="default"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1</w:t>
      </w:r>
      <w:r>
        <w:rPr>
          <w:rFonts w:hint="eastAsia" w:cs="Times New Roman"/>
          <w:b/>
          <w:bCs/>
          <w:kern w:val="2"/>
          <w:sz w:val="24"/>
          <w:szCs w:val="24"/>
          <w:lang w:val="en-US" w:eastAsia="zh-CN" w:bidi="ar-SA"/>
        </w:rPr>
        <w:t>4</w:t>
      </w:r>
      <w:r>
        <w:rPr>
          <w:rFonts w:hint="eastAsia" w:ascii="Times New Roman" w:hAnsi="Times New Roman" w:eastAsia="宋体" w:cs="Times New Roman"/>
          <w:b/>
          <w:bCs/>
          <w:kern w:val="2"/>
          <w:sz w:val="24"/>
          <w:szCs w:val="24"/>
          <w:lang w:val="en-US" w:eastAsia="zh-CN" w:bidi="ar-SA"/>
        </w:rPr>
        <w:t>、</w:t>
      </w:r>
      <w:r>
        <w:rPr>
          <w:rFonts w:hint="eastAsia" w:cs="Times New Roman"/>
          <w:b/>
          <w:bCs/>
          <w:kern w:val="2"/>
          <w:sz w:val="24"/>
          <w:szCs w:val="24"/>
          <w:lang w:val="en-US" w:eastAsia="zh-CN" w:bidi="ar-SA"/>
        </w:rPr>
        <w:t>台式主机</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主要参数：</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处理器：IntelCore i7 12700 12核</w:t>
      </w:r>
      <w:r>
        <w:rPr>
          <w:rFonts w:hint="eastAsia" w:cs="Times New Roman"/>
          <w:color w:val="000000"/>
          <w:sz w:val="24"/>
          <w:szCs w:val="20"/>
          <w:lang w:val="en-US" w:eastAsia="zh-CN"/>
        </w:rPr>
        <w:t>；</w:t>
      </w:r>
      <w:r>
        <w:rPr>
          <w:rFonts w:hint="eastAsia" w:ascii="Times New Roman" w:hAnsi="Times New Roman" w:eastAsia="宋体" w:cs="Times New Roman"/>
          <w:color w:val="000000"/>
          <w:sz w:val="24"/>
          <w:szCs w:val="20"/>
          <w:lang w:val="en-US" w:eastAsia="zh-CN"/>
        </w:rPr>
        <w:t xml:space="preserve">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显卡：gt730-4G独立显卡</w:t>
      </w:r>
      <w:r>
        <w:rPr>
          <w:rFonts w:hint="eastAsia" w:cs="Times New Roman"/>
          <w:color w:val="000000"/>
          <w:sz w:val="24"/>
          <w:szCs w:val="20"/>
          <w:lang w:val="en-US"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硬盘：1T SSD</w:t>
      </w:r>
      <w:r>
        <w:rPr>
          <w:rFonts w:hint="eastAsia" w:cs="Times New Roman"/>
          <w:color w:val="000000"/>
          <w:sz w:val="24"/>
          <w:szCs w:val="20"/>
          <w:lang w:val="en-US"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内存：64GB</w:t>
      </w:r>
      <w:r>
        <w:rPr>
          <w:rFonts w:hint="eastAsia" w:cs="Times New Roman"/>
          <w:color w:val="000000"/>
          <w:sz w:val="24"/>
          <w:szCs w:val="20"/>
          <w:lang w:val="en-US"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系统 Windows 11</w:t>
      </w:r>
      <w:r>
        <w:rPr>
          <w:rFonts w:hint="eastAsia" w:cs="Times New Roman"/>
          <w:color w:val="000000"/>
          <w:sz w:val="24"/>
          <w:szCs w:val="20"/>
          <w:lang w:val="en-US"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支持IPv6</w:t>
      </w:r>
      <w:r>
        <w:rPr>
          <w:rFonts w:hint="eastAsia" w:cs="Times New Roman"/>
          <w:color w:val="000000"/>
          <w:sz w:val="24"/>
          <w:szCs w:val="20"/>
          <w:lang w:val="en-US"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接口：</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HDMI×4；</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USB-C 3.2×1（前置）；</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USB-A 3.2×4（前置）；</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USB-A 3.2×2（后置）；</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USB-A 2.0×2（后置）；</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imes New Roman" w:hAnsi="Times New Roman" w:eastAsia="宋体" w:cs="Times New Roman"/>
          <w:color w:val="000000"/>
          <w:sz w:val="24"/>
          <w:szCs w:val="20"/>
          <w:lang w:val="en-US" w:eastAsia="zh-CN"/>
        </w:rPr>
      </w:pPr>
      <w:r>
        <w:rPr>
          <w:rFonts w:hint="eastAsia" w:ascii="Times New Roman" w:hAnsi="Times New Roman" w:eastAsia="宋体" w:cs="Times New Roman"/>
          <w:color w:val="000000"/>
          <w:sz w:val="24"/>
          <w:szCs w:val="20"/>
          <w:lang w:val="en-US" w:eastAsia="zh-CN"/>
        </w:rPr>
        <w:t>RJ45接口×1</w:t>
      </w:r>
      <w:r>
        <w:rPr>
          <w:rFonts w:hint="eastAsia" w:cs="Times New Roman"/>
          <w:color w:val="000000"/>
          <w:sz w:val="24"/>
          <w:szCs w:val="20"/>
          <w:lang w:val="en-US"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宋体" w:cs="Times New Roman"/>
          <w:color w:val="000000"/>
          <w:sz w:val="24"/>
          <w:szCs w:val="20"/>
          <w:lang w:val="en-US" w:eastAsia="zh-CN"/>
        </w:rPr>
      </w:pPr>
      <w:r>
        <w:rPr>
          <w:rFonts w:hint="eastAsia" w:cs="Times New Roman"/>
          <w:color w:val="000000"/>
          <w:sz w:val="24"/>
          <w:szCs w:val="20"/>
          <w:lang w:val="en-US" w:eastAsia="zh-CN"/>
        </w:rPr>
        <w:t>外设：</w:t>
      </w:r>
      <w:r>
        <w:rPr>
          <w:rFonts w:hint="eastAsia" w:ascii="Times New Roman" w:hAnsi="Times New Roman" w:eastAsia="宋体" w:cs="Times New Roman"/>
          <w:color w:val="000000"/>
          <w:sz w:val="24"/>
          <w:szCs w:val="20"/>
          <w:lang w:val="en-US" w:eastAsia="zh-CN"/>
        </w:rPr>
        <w:t>含键盘鼠标。</w:t>
      </w:r>
    </w:p>
    <w:p>
      <w:pPr>
        <w:pageBreakBefore w:val="0"/>
        <w:widowControl w:val="0"/>
        <w:kinsoku/>
        <w:wordWrap/>
        <w:overflowPunct/>
        <w:topLinePunct w:val="0"/>
        <w:autoSpaceDE/>
        <w:autoSpaceDN/>
        <w:bidi w:val="0"/>
        <w:adjustRightInd/>
        <w:spacing w:before="120" w:beforeLines="50" w:after="120" w:afterLines="50" w:line="500" w:lineRule="exact"/>
        <w:ind w:firstLine="562" w:firstLineChars="200"/>
        <w:textAlignment w:val="auto"/>
        <w:outlineLvl w:val="0"/>
        <w:rPr>
          <w:rFonts w:hint="eastAsia" w:eastAsia="黑体"/>
          <w:b/>
          <w:sz w:val="28"/>
          <w:szCs w:val="28"/>
        </w:rPr>
      </w:pPr>
      <w:bookmarkStart w:id="223" w:name="_Toc21285"/>
      <w:r>
        <w:rPr>
          <w:rFonts w:hint="eastAsia" w:eastAsia="黑体"/>
          <w:b/>
          <w:sz w:val="28"/>
          <w:szCs w:val="28"/>
          <w:lang w:val="en-US" w:eastAsia="zh-CN"/>
        </w:rPr>
        <w:t>五</w:t>
      </w:r>
      <w:r>
        <w:rPr>
          <w:rFonts w:hint="eastAsia" w:eastAsia="黑体"/>
          <w:b/>
          <w:sz w:val="28"/>
          <w:szCs w:val="28"/>
        </w:rPr>
        <w:t>、供货范围</w:t>
      </w:r>
      <w:bookmarkEnd w:id="209"/>
      <w:bookmarkEnd w:id="210"/>
      <w:bookmarkEnd w:id="211"/>
      <w:bookmarkEnd w:id="223"/>
    </w:p>
    <w:p>
      <w:pPr>
        <w:pageBreakBefore w:val="0"/>
        <w:widowControl w:val="0"/>
        <w:kinsoku/>
        <w:wordWrap/>
        <w:overflowPunct/>
        <w:topLinePunct w:val="0"/>
        <w:autoSpaceDE/>
        <w:autoSpaceDN/>
        <w:bidi w:val="0"/>
        <w:adjustRightInd/>
        <w:spacing w:line="500" w:lineRule="exact"/>
        <w:ind w:firstLine="480" w:firstLineChars="200"/>
        <w:jc w:val="both"/>
        <w:textAlignment w:val="auto"/>
        <w:rPr>
          <w:rFonts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1、</w:t>
      </w:r>
      <w:r>
        <w:rPr>
          <w:rFonts w:hint="eastAsia" w:ascii="Times New Roman" w:hAnsi="Times New Roman" w:eastAsia="宋体" w:cs="Times New Roman"/>
          <w:kern w:val="2"/>
          <w:sz w:val="24"/>
          <w:szCs w:val="24"/>
          <w:lang w:val="en-US" w:eastAsia="zh-CN" w:bidi="ar-SA"/>
        </w:rPr>
        <w:t>中标方提供的</w:t>
      </w:r>
      <w:r>
        <w:rPr>
          <w:rFonts w:ascii="Times New Roman" w:hAnsi="Times New Roman" w:eastAsia="宋体" w:cs="Times New Roman"/>
          <w:kern w:val="2"/>
          <w:sz w:val="24"/>
          <w:szCs w:val="24"/>
          <w:lang w:val="en-US" w:eastAsia="zh-CN" w:bidi="ar-SA"/>
        </w:rPr>
        <w:t>全部设备</w:t>
      </w:r>
      <w:r>
        <w:rPr>
          <w:rFonts w:hint="eastAsia" w:ascii="Times New Roman" w:hAnsi="Times New Roman" w:eastAsia="宋体" w:cs="Times New Roman"/>
          <w:kern w:val="2"/>
          <w:sz w:val="24"/>
          <w:szCs w:val="24"/>
          <w:lang w:val="en-US" w:eastAsia="zh-CN" w:bidi="ar-SA"/>
        </w:rPr>
        <w:t>及其配件</w:t>
      </w:r>
      <w:r>
        <w:rPr>
          <w:rFonts w:ascii="Times New Roman" w:hAnsi="Times New Roman" w:eastAsia="宋体" w:cs="Times New Roman"/>
          <w:kern w:val="2"/>
          <w:sz w:val="24"/>
          <w:szCs w:val="24"/>
          <w:lang w:val="en-US" w:eastAsia="zh-CN" w:bidi="ar-SA"/>
        </w:rPr>
        <w:t>确保有出厂检验报告或合格证，主要设备</w:t>
      </w:r>
      <w:r>
        <w:rPr>
          <w:rFonts w:hint="eastAsia" w:cs="Times New Roman"/>
          <w:kern w:val="2"/>
          <w:sz w:val="24"/>
          <w:szCs w:val="24"/>
          <w:lang w:val="en-US" w:eastAsia="zh-CN" w:bidi="ar-SA"/>
        </w:rPr>
        <w:t>应</w:t>
      </w:r>
      <w:r>
        <w:rPr>
          <w:rFonts w:ascii="Times New Roman" w:hAnsi="Times New Roman" w:eastAsia="宋体" w:cs="Times New Roman"/>
          <w:kern w:val="2"/>
          <w:sz w:val="24"/>
          <w:szCs w:val="24"/>
          <w:lang w:val="en-US" w:eastAsia="zh-CN" w:bidi="ar-SA"/>
        </w:rPr>
        <w:t>选用</w:t>
      </w:r>
      <w:r>
        <w:rPr>
          <w:rFonts w:hint="eastAsia" w:cs="Times New Roman"/>
          <w:kern w:val="2"/>
          <w:sz w:val="24"/>
          <w:szCs w:val="24"/>
          <w:lang w:val="en-US" w:eastAsia="zh-CN" w:bidi="ar-SA"/>
        </w:rPr>
        <w:t>一线主流</w:t>
      </w:r>
      <w:r>
        <w:rPr>
          <w:rFonts w:ascii="Times New Roman" w:hAnsi="Times New Roman" w:eastAsia="宋体" w:cs="Times New Roman"/>
          <w:kern w:val="2"/>
          <w:sz w:val="24"/>
          <w:szCs w:val="24"/>
          <w:lang w:val="en-US" w:eastAsia="zh-CN" w:bidi="ar-SA"/>
        </w:rPr>
        <w:t>产品。如购买了假冒伪劣不合格产品，其后果由</w:t>
      </w:r>
      <w:r>
        <w:rPr>
          <w:rFonts w:hint="eastAsia" w:ascii="Times New Roman" w:hAnsi="Times New Roman" w:eastAsia="宋体" w:cs="Times New Roman"/>
          <w:kern w:val="2"/>
          <w:sz w:val="24"/>
          <w:szCs w:val="24"/>
          <w:lang w:val="en-US" w:eastAsia="zh-CN" w:bidi="ar-SA"/>
        </w:rPr>
        <w:t>中标方</w:t>
      </w:r>
      <w:r>
        <w:rPr>
          <w:rFonts w:ascii="Times New Roman" w:hAnsi="Times New Roman" w:eastAsia="宋体" w:cs="Times New Roman"/>
          <w:kern w:val="2"/>
          <w:sz w:val="24"/>
          <w:szCs w:val="24"/>
          <w:lang w:val="en-US" w:eastAsia="zh-CN" w:bidi="ar-SA"/>
        </w:rPr>
        <w:t>负责。设备</w:t>
      </w:r>
      <w:r>
        <w:rPr>
          <w:rFonts w:hint="eastAsia" w:ascii="Times New Roman" w:hAnsi="Times New Roman" w:eastAsia="宋体" w:cs="Times New Roman"/>
          <w:kern w:val="2"/>
          <w:sz w:val="24"/>
          <w:szCs w:val="24"/>
          <w:lang w:val="en-US" w:eastAsia="zh-CN" w:bidi="ar-SA"/>
        </w:rPr>
        <w:t>及其配件</w:t>
      </w:r>
      <w:r>
        <w:rPr>
          <w:rFonts w:ascii="Times New Roman" w:hAnsi="Times New Roman" w:eastAsia="宋体" w:cs="Times New Roman"/>
          <w:kern w:val="2"/>
          <w:sz w:val="24"/>
          <w:szCs w:val="24"/>
          <w:lang w:val="en-US" w:eastAsia="zh-CN" w:bidi="ar-SA"/>
        </w:rPr>
        <w:t>如不符合质量要求或规格有差异，应禁止使用。</w:t>
      </w:r>
    </w:p>
    <w:p>
      <w:pPr>
        <w:pageBreakBefore w:val="0"/>
        <w:widowControl w:val="0"/>
        <w:kinsoku/>
        <w:wordWrap/>
        <w:overflowPunct/>
        <w:topLinePunct w:val="0"/>
        <w:autoSpaceDE/>
        <w:autoSpaceDN/>
        <w:bidi w:val="0"/>
        <w:adjustRightInd/>
        <w:spacing w:line="500" w:lineRule="exact"/>
        <w:ind w:firstLine="480" w:firstLineChars="200"/>
        <w:jc w:val="both"/>
        <w:textAlignment w:val="auto"/>
        <w:rPr>
          <w:rFonts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中标方</w:t>
      </w:r>
      <w:r>
        <w:rPr>
          <w:rFonts w:ascii="Times New Roman" w:hAnsi="Times New Roman" w:eastAsia="宋体" w:cs="Times New Roman"/>
          <w:kern w:val="2"/>
          <w:sz w:val="24"/>
          <w:szCs w:val="24"/>
          <w:lang w:val="en-US" w:eastAsia="zh-CN" w:bidi="ar-SA"/>
        </w:rPr>
        <w:t>需提供满足</w:t>
      </w:r>
      <w:r>
        <w:rPr>
          <w:rFonts w:hint="eastAsia" w:cs="Times New Roman"/>
          <w:kern w:val="2"/>
          <w:sz w:val="24"/>
          <w:szCs w:val="24"/>
          <w:lang w:val="en-US" w:eastAsia="zh-CN" w:bidi="ar-SA"/>
        </w:rPr>
        <w:t>技术规范书</w:t>
      </w:r>
      <w:r>
        <w:rPr>
          <w:rFonts w:ascii="Times New Roman" w:hAnsi="Times New Roman" w:eastAsia="宋体" w:cs="Times New Roman"/>
          <w:kern w:val="2"/>
          <w:sz w:val="24"/>
          <w:szCs w:val="24"/>
          <w:lang w:val="en-US" w:eastAsia="zh-CN" w:bidi="ar-SA"/>
        </w:rPr>
        <w:t>内的功能要求的设备</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安装</w:t>
      </w:r>
      <w:r>
        <w:rPr>
          <w:rFonts w:hint="eastAsia" w:cs="Times New Roman"/>
          <w:kern w:val="2"/>
          <w:sz w:val="24"/>
          <w:szCs w:val="24"/>
          <w:lang w:val="en-US" w:eastAsia="zh-CN" w:bidi="ar-SA"/>
        </w:rPr>
        <w:t>调试及系统集成服务</w:t>
      </w:r>
      <w:r>
        <w:rPr>
          <w:rFonts w:ascii="Times New Roman" w:hAnsi="Times New Roman" w:eastAsia="宋体" w:cs="Times New Roman"/>
          <w:kern w:val="2"/>
          <w:sz w:val="24"/>
          <w:szCs w:val="24"/>
          <w:lang w:val="en-US" w:eastAsia="zh-CN" w:bidi="ar-SA"/>
        </w:rPr>
        <w:t>。</w:t>
      </w:r>
    </w:p>
    <w:p>
      <w:pPr>
        <w:pageBreakBefore w:val="0"/>
        <w:widowControl w:val="0"/>
        <w:kinsoku/>
        <w:wordWrap/>
        <w:overflowPunct/>
        <w:topLinePunct w:val="0"/>
        <w:autoSpaceDE/>
        <w:autoSpaceDN/>
        <w:bidi w:val="0"/>
        <w:adjustRightInd/>
        <w:textAlignment w:val="auto"/>
        <w:rPr>
          <w:rFonts w:hint="eastAsia"/>
          <w:lang w:val="en-US" w:eastAsia="zh-CN"/>
        </w:rPr>
      </w:pPr>
      <w:r>
        <w:rPr>
          <w:rFonts w:hint="eastAsia"/>
          <w:lang w:val="en-US" w:eastAsia="zh-CN"/>
        </w:rPr>
        <w:t>3、主要设备及材料清单</w:t>
      </w:r>
    </w:p>
    <w:tbl>
      <w:tblPr>
        <w:tblStyle w:val="28"/>
        <w:tblW w:w="904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545"/>
        <w:gridCol w:w="3630"/>
        <w:gridCol w:w="705"/>
        <w:gridCol w:w="705"/>
        <w:gridCol w:w="885"/>
        <w:gridCol w:w="8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b/>
                <w:bCs/>
                <w:snapToGrid/>
                <w:color w:val="auto"/>
                <w:sz w:val="21"/>
                <w:szCs w:val="21"/>
              </w:rPr>
            </w:pPr>
            <w:r>
              <w:rPr>
                <w:rFonts w:hint="default" w:ascii="Times New Roman" w:hAnsi="Times New Roman" w:eastAsia="宋体" w:cs="Times New Roman"/>
                <w:b/>
                <w:bCs/>
                <w:snapToGrid/>
                <w:color w:val="auto"/>
                <w:sz w:val="21"/>
                <w:szCs w:val="21"/>
              </w:rPr>
              <w:t>序号</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b/>
                <w:bCs/>
                <w:snapToGrid/>
                <w:color w:val="auto"/>
                <w:sz w:val="21"/>
                <w:szCs w:val="21"/>
              </w:rPr>
            </w:pPr>
            <w:r>
              <w:rPr>
                <w:rFonts w:hint="eastAsia" w:ascii="Times New Roman" w:hAnsi="Times New Roman" w:eastAsia="宋体" w:cs="Times New Roman"/>
                <w:b/>
                <w:bCs/>
                <w:snapToGrid/>
                <w:color w:val="auto"/>
                <w:sz w:val="21"/>
                <w:szCs w:val="21"/>
                <w:lang w:val="en-US" w:eastAsia="zh-CN"/>
              </w:rPr>
              <w:t>设备</w:t>
            </w:r>
            <w:r>
              <w:rPr>
                <w:rFonts w:hint="default" w:ascii="Times New Roman" w:hAnsi="Times New Roman" w:eastAsia="宋体" w:cs="Times New Roman"/>
                <w:b/>
                <w:bCs/>
                <w:snapToGrid/>
                <w:color w:val="auto"/>
                <w:sz w:val="21"/>
                <w:szCs w:val="21"/>
              </w:rPr>
              <w:t>名称</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b/>
                <w:bCs/>
                <w:snapToGrid/>
                <w:color w:val="auto"/>
                <w:sz w:val="21"/>
                <w:szCs w:val="21"/>
                <w:lang w:val="en-US" w:eastAsia="zh-CN"/>
              </w:rPr>
            </w:pPr>
            <w:r>
              <w:rPr>
                <w:rFonts w:hint="default" w:ascii="Times New Roman" w:hAnsi="Times New Roman" w:eastAsia="宋体" w:cs="Times New Roman"/>
                <w:b/>
                <w:bCs/>
                <w:snapToGrid/>
                <w:color w:val="auto"/>
                <w:sz w:val="21"/>
                <w:szCs w:val="21"/>
              </w:rPr>
              <w:t>型号规格</w:t>
            </w:r>
            <w:r>
              <w:rPr>
                <w:rFonts w:hint="eastAsia" w:ascii="Times New Roman" w:hAnsi="Times New Roman" w:eastAsia="宋体" w:cs="Times New Roman"/>
                <w:b/>
                <w:bCs/>
                <w:snapToGrid/>
                <w:color w:val="auto"/>
                <w:sz w:val="21"/>
                <w:szCs w:val="21"/>
                <w:lang w:val="en-US" w:eastAsia="zh-CN"/>
              </w:rPr>
              <w:t>及内容</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b/>
                <w:bCs/>
                <w:snapToGrid/>
                <w:color w:val="auto"/>
                <w:sz w:val="21"/>
                <w:szCs w:val="21"/>
              </w:rPr>
            </w:pPr>
            <w:r>
              <w:rPr>
                <w:rFonts w:hint="default" w:ascii="Times New Roman" w:hAnsi="Times New Roman" w:eastAsia="宋体" w:cs="Times New Roman"/>
                <w:b/>
                <w:bCs/>
                <w:snapToGrid/>
                <w:color w:val="auto"/>
                <w:sz w:val="21"/>
                <w:szCs w:val="21"/>
              </w:rPr>
              <w:t>单位</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b/>
                <w:bCs/>
                <w:snapToGrid/>
                <w:color w:val="auto"/>
                <w:sz w:val="21"/>
                <w:szCs w:val="21"/>
              </w:rPr>
            </w:pPr>
            <w:r>
              <w:rPr>
                <w:rFonts w:hint="default" w:ascii="Times New Roman" w:hAnsi="Times New Roman" w:eastAsia="宋体" w:cs="Times New Roman"/>
                <w:b/>
                <w:bCs/>
                <w:snapToGrid/>
                <w:color w:val="auto"/>
                <w:sz w:val="21"/>
                <w:szCs w:val="21"/>
              </w:rPr>
              <w:t>数量</w:t>
            </w:r>
          </w:p>
        </w:tc>
        <w:tc>
          <w:tcPr>
            <w:tcW w:w="88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napToGrid/>
                <w:color w:val="auto"/>
                <w:sz w:val="21"/>
                <w:szCs w:val="21"/>
              </w:rPr>
            </w:pPr>
            <w:r>
              <w:rPr>
                <w:rFonts w:ascii="Times New Roman" w:hAnsi="Times New Roman"/>
                <w:color w:val="auto"/>
                <w:sz w:val="21"/>
                <w:szCs w:val="21"/>
                <w:highlight w:val="none"/>
              </w:rPr>
              <w:t>交货期</w:t>
            </w:r>
          </w:p>
        </w:tc>
        <w:tc>
          <w:tcPr>
            <w:tcW w:w="84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napToGrid/>
                <w:color w:val="auto"/>
                <w:sz w:val="21"/>
                <w:szCs w:val="21"/>
              </w:rPr>
            </w:pPr>
            <w:r>
              <w:rPr>
                <w:rFonts w:ascii="Times New Roman" w:hAnsi="Times New Roman"/>
                <w:color w:val="auto"/>
                <w:sz w:val="21"/>
                <w:szCs w:val="21"/>
                <w:highlight w:val="none"/>
              </w:rPr>
              <w:t>交货地点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IT机柜</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left"/>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服务器机柜|华为NetHos-M FR42612 | 19英寸标准服务器机柜，600mm×1200mm×2000mm；含1对滑道，20块1U面板、1个托盘，两条单相32A国标PDU；华为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lang w:val="en-US" w:eastAsia="zh-CN"/>
              </w:rPr>
            </w:pPr>
            <w:r>
              <w:rPr>
                <w:rFonts w:hint="eastAsia" w:cs="Times New Roman"/>
                <w:snapToGrid/>
                <w:sz w:val="21"/>
                <w:szCs w:val="21"/>
                <w:lang w:val="en-US" w:eastAsia="zh-CN"/>
              </w:rPr>
              <w:t>15</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val="en-US" w:eastAsia="zh-CN"/>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2</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通道组件</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微模块通道组件|FM2000通道组件-4 |</w:t>
            </w:r>
            <w:r>
              <w:rPr>
                <w:rFonts w:hint="eastAsia" w:cs="Times New Roman"/>
                <w:snapToGrid/>
                <w:sz w:val="21"/>
                <w:szCs w:val="21"/>
                <w:lang w:eastAsia="zh-CN"/>
              </w:rPr>
              <w:t>；</w:t>
            </w:r>
            <w:r>
              <w:rPr>
                <w:rFonts w:hint="default" w:ascii="Times New Roman" w:hAnsi="Times New Roman" w:eastAsia="宋体" w:cs="Times New Roman"/>
                <w:snapToGrid/>
                <w:sz w:val="21"/>
                <w:szCs w:val="21"/>
              </w:rPr>
              <w:t>通道组件600mm宽控制天窗、600mm/300mm宽玻璃天窗、两扇双开自动平移门及配套辅材，强弱电隔离走线槽等，适配22柜位</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套</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3</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精密配电柜</w:t>
            </w:r>
          </w:p>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（列头柜）</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配电柜（定制）|PDU8000-07 | 600mm×1200mm×2000mm，1路IT配电160A输入，1路空调配电160A输入；支路48个1P 40A IT，8个3P 63A空调，带温度检测</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4</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列间精密</w:t>
            </w:r>
            <w:r>
              <w:rPr>
                <w:rFonts w:hint="default" w:ascii="Times New Roman" w:hAnsi="Times New Roman" w:eastAsia="宋体" w:cs="Times New Roman"/>
                <w:snapToGrid/>
                <w:sz w:val="21"/>
                <w:szCs w:val="21"/>
              </w:rPr>
              <w:t>空调</w:t>
            </w:r>
          </w:p>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（加湿加热）</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行级空调|NetCol5000-A035H（加热加湿）|300mm×1200mm×2000mm，总冷量35kW，显冷量35kW，风量6000m</w:t>
            </w:r>
            <w:r>
              <w:rPr>
                <w:rFonts w:hint="default" w:ascii="Times New Roman" w:hAnsi="Times New Roman" w:eastAsia="宋体" w:cs="Times New Roman"/>
                <w:snapToGrid/>
                <w:sz w:val="21"/>
                <w:szCs w:val="21"/>
                <w:vertAlign w:val="superscript"/>
              </w:rPr>
              <w:t>3</w:t>
            </w:r>
            <w:r>
              <w:rPr>
                <w:rFonts w:hint="default" w:ascii="Times New Roman" w:hAnsi="Times New Roman" w:eastAsia="宋体" w:cs="Times New Roman"/>
                <w:snapToGrid/>
                <w:sz w:val="21"/>
                <w:szCs w:val="21"/>
              </w:rPr>
              <w:t>/h，加湿量1.5kg/h 加热量4kW</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eastAsia" w:cs="Times New Roman"/>
                <w:snapToGrid/>
                <w:sz w:val="21"/>
                <w:szCs w:val="21"/>
                <w:lang w:val="en-US" w:eastAsia="zh-CN"/>
              </w:rPr>
              <w:t>2</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val="en-US" w:eastAsia="zh-CN"/>
              </w:rPr>
            </w:pPr>
            <w:r>
              <w:rPr>
                <w:rFonts w:hint="eastAsia" w:cs="Times New Roman"/>
                <w:snapToGrid/>
                <w:sz w:val="21"/>
                <w:szCs w:val="21"/>
                <w:lang w:val="en-US" w:eastAsia="zh-CN"/>
              </w:rPr>
              <w:t>5</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列间精密</w:t>
            </w:r>
            <w:r>
              <w:rPr>
                <w:rFonts w:hint="default" w:ascii="Times New Roman" w:hAnsi="Times New Roman" w:eastAsia="宋体" w:cs="Times New Roman"/>
                <w:snapToGrid/>
                <w:sz w:val="21"/>
                <w:szCs w:val="21"/>
              </w:rPr>
              <w:t>空调</w:t>
            </w:r>
          </w:p>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（单冷）</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行级空调|NetCol5000-A035H（单冷）|300mm×1200mm×2000mm，总冷量35kW，显冷量35kW，风量6000m</w:t>
            </w:r>
            <w:r>
              <w:rPr>
                <w:rFonts w:hint="default" w:ascii="Times New Roman" w:hAnsi="Times New Roman" w:eastAsia="宋体" w:cs="Times New Roman"/>
                <w:snapToGrid/>
                <w:sz w:val="21"/>
                <w:szCs w:val="21"/>
                <w:vertAlign w:val="superscript"/>
              </w:rPr>
              <w:t>3</w:t>
            </w:r>
            <w:r>
              <w:rPr>
                <w:rFonts w:hint="default" w:ascii="Times New Roman" w:hAnsi="Times New Roman" w:eastAsia="宋体" w:cs="Times New Roman"/>
                <w:snapToGrid/>
                <w:sz w:val="21"/>
                <w:szCs w:val="21"/>
              </w:rPr>
              <w:t>/h</w:t>
            </w:r>
            <w:r>
              <w:rPr>
                <w:rFonts w:hint="eastAsia"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cs="Times New Roman"/>
                <w:snapToGrid/>
                <w:sz w:val="21"/>
                <w:szCs w:val="21"/>
                <w:lang w:val="en-US" w:eastAsia="zh-CN"/>
              </w:rPr>
            </w:pPr>
            <w:r>
              <w:rPr>
                <w:rFonts w:hint="eastAsia" w:cs="Times New Roman"/>
                <w:snapToGrid/>
                <w:sz w:val="21"/>
                <w:szCs w:val="21"/>
                <w:lang w:val="en-US" w:eastAsia="zh-CN"/>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val="en-US" w:eastAsia="zh-CN"/>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eastAsia" w:cs="Times New Roman"/>
                <w:snapToGrid/>
                <w:sz w:val="21"/>
                <w:szCs w:val="21"/>
                <w:lang w:val="en-US" w:eastAsia="zh-CN"/>
              </w:rPr>
              <w:t>6</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通道智能硬件</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模块化机房内部监控系统|ECC800Pro-6 | 采集器，43寸屏，2×门禁，多功能传感器×2；水浸；3×温度传感器，照明、蜂鸣器，2×摄像机，多种报警方式，APP实时监控</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套</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eastAsia" w:cs="Times New Roman"/>
                <w:snapToGrid/>
                <w:sz w:val="21"/>
                <w:szCs w:val="21"/>
                <w:lang w:val="en-US" w:eastAsia="zh-CN"/>
              </w:rPr>
              <w:t>7</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配套线缆</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模块化机房内部弱电信号线缆以及强电线缆，标准FM2000配套</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套</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7</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eastAsia" w:ascii="Times New Roman" w:hAnsi="Times New Roman" w:eastAsia="宋体" w:cs="Times New Roman"/>
                <w:snapToGrid/>
                <w:sz w:val="21"/>
                <w:szCs w:val="21"/>
                <w:lang w:val="en-US" w:eastAsia="zh-CN"/>
              </w:rPr>
              <w:t>管理系统</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DCIM（定制）|NetEco6000-1 | 监控管理系统含服务器、交换机、采集器，基础软件、3D视图，南向接口，视频摄像机×5，外部门禁×2</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视频存储30天</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套</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vMerge w:val="restart"/>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8</w:t>
            </w:r>
          </w:p>
        </w:tc>
        <w:tc>
          <w:tcPr>
            <w:tcW w:w="1545" w:type="dxa"/>
            <w:vMerge w:val="restart"/>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UPS</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模块化UPS|UPS5000-E-200K框架 | UPS机架容量200</w:t>
            </w:r>
            <w:r>
              <w:rPr>
                <w:rFonts w:hint="eastAsia" w:ascii="Times New Roman" w:hAnsi="Times New Roman" w:eastAsia="宋体" w:cs="Times New Roman"/>
                <w:snapToGrid/>
                <w:sz w:val="21"/>
                <w:szCs w:val="21"/>
                <w:lang w:val="en-US" w:eastAsia="zh-CN"/>
              </w:rPr>
              <w:t>k</w:t>
            </w:r>
            <w:r>
              <w:rPr>
                <w:rFonts w:hint="default" w:ascii="Times New Roman" w:hAnsi="Times New Roman" w:eastAsia="宋体" w:cs="Times New Roman"/>
                <w:snapToGrid/>
                <w:sz w:val="21"/>
                <w:szCs w:val="21"/>
              </w:rPr>
              <w:t>VA；标配（含维修旁路开关），适配功率模块50kVA</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vMerge w:val="continue"/>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1545" w:type="dxa"/>
            <w:vMerge w:val="continue"/>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模块化UPS功率模块|PM50K-V4S-01 | 功能模块-50kVA功率模块-3U-UPS5000-E</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3</w:t>
            </w:r>
          </w:p>
        </w:tc>
        <w:tc>
          <w:tcPr>
            <w:tcW w:w="88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9</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房间</w:t>
            </w:r>
            <w:r>
              <w:rPr>
                <w:rFonts w:hint="default" w:ascii="Times New Roman" w:hAnsi="Times New Roman" w:eastAsia="宋体" w:cs="Times New Roman"/>
                <w:snapToGrid/>
                <w:sz w:val="21"/>
                <w:szCs w:val="21"/>
              </w:rPr>
              <w:t>精密</w:t>
            </w:r>
          </w:p>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空调</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列间</w:t>
            </w:r>
            <w:r>
              <w:rPr>
                <w:rFonts w:hint="default" w:ascii="Times New Roman" w:hAnsi="Times New Roman" w:eastAsia="宋体" w:cs="Times New Roman"/>
                <w:snapToGrid/>
                <w:sz w:val="21"/>
                <w:szCs w:val="21"/>
              </w:rPr>
              <w:t>精密空调|NetCol8000-A013U（带加湿）|600mm×600mm×2000mm</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总冷量13kW，显冷量11.7kW，风量3100m</w:t>
            </w:r>
            <w:r>
              <w:rPr>
                <w:rFonts w:hint="default" w:ascii="Times New Roman" w:hAnsi="Times New Roman" w:eastAsia="宋体" w:cs="Times New Roman"/>
                <w:snapToGrid/>
                <w:sz w:val="21"/>
                <w:szCs w:val="21"/>
                <w:vertAlign w:val="superscript"/>
              </w:rPr>
              <w:t>3</w:t>
            </w:r>
            <w:r>
              <w:rPr>
                <w:rFonts w:hint="default" w:ascii="Times New Roman" w:hAnsi="Times New Roman" w:eastAsia="宋体" w:cs="Times New Roman"/>
                <w:snapToGrid/>
                <w:sz w:val="21"/>
                <w:szCs w:val="21"/>
              </w:rPr>
              <w:t>/h，加湿量2kg/h 加热量4kW</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eastAsia" w:cs="Times New Roman"/>
                <w:snapToGrid/>
                <w:sz w:val="21"/>
                <w:szCs w:val="21"/>
                <w:lang w:val="en-US" w:eastAsia="zh-CN"/>
              </w:rPr>
              <w:t>1</w:t>
            </w:r>
          </w:p>
        </w:tc>
        <w:tc>
          <w:tcPr>
            <w:tcW w:w="88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lang w:val="en-US" w:eastAsia="zh-CN"/>
              </w:rPr>
            </w:pPr>
            <w:r>
              <w:rPr>
                <w:rFonts w:hint="eastAsia" w:ascii="Times New Roman" w:hAnsi="Times New Roman" w:eastAsia="宋体" w:cs="Times New Roman"/>
                <w:snapToGrid/>
                <w:sz w:val="21"/>
                <w:szCs w:val="21"/>
                <w:lang w:val="en-US" w:eastAsia="zh-CN"/>
              </w:rPr>
              <w:t>10</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督导服务</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eastAsia" w:ascii="Times New Roman" w:hAnsi="Times New Roman" w:eastAsia="宋体" w:cs="Times New Roman"/>
                <w:snapToGrid/>
                <w:sz w:val="21"/>
                <w:szCs w:val="21"/>
                <w:lang w:eastAsia="zh-CN"/>
              </w:rPr>
            </w:pPr>
            <w:r>
              <w:rPr>
                <w:rFonts w:hint="default" w:ascii="Times New Roman" w:hAnsi="Times New Roman" w:eastAsia="宋体" w:cs="Times New Roman"/>
                <w:snapToGrid/>
                <w:sz w:val="21"/>
                <w:szCs w:val="21"/>
              </w:rPr>
              <w:t>FusionModule2000督导服务|通道结构组件督导；ECC及监控组件督导；门禁系统督导；VCN督导；摄像机督导；一体化UPS督导</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华为</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套</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val="en-US" w:eastAsia="zh-CN"/>
              </w:rPr>
            </w:pPr>
            <w:r>
              <w:rPr>
                <w:rFonts w:hint="eastAsia" w:ascii="Times New Roman" w:hAnsi="Times New Roman" w:eastAsia="宋体" w:cs="Times New Roman"/>
                <w:snapToGrid/>
                <w:sz w:val="21"/>
                <w:szCs w:val="21"/>
                <w:lang w:val="en-US" w:eastAsia="zh-CN"/>
              </w:rPr>
              <w:t>甲供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lang w:val="en-US" w:eastAsia="zh-CN"/>
              </w:rPr>
            </w:pPr>
            <w:r>
              <w:rPr>
                <w:rFonts w:hint="eastAsia" w:ascii="Times New Roman" w:hAnsi="Times New Roman" w:eastAsia="宋体" w:cs="Times New Roman"/>
                <w:snapToGrid/>
                <w:sz w:val="21"/>
                <w:szCs w:val="21"/>
                <w:lang w:val="en-US" w:eastAsia="zh-CN"/>
              </w:rPr>
              <w:t>11</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蓄电池</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阀控式密封铅酸蓄电池</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12V</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200Ah</w:t>
            </w:r>
            <w:r>
              <w:rPr>
                <w:rFonts w:hint="eastAsia" w:ascii="Times New Roman" w:hAnsi="Times New Roman" w:eastAsia="宋体" w:cs="Times New Roman"/>
                <w:snapToGrid/>
                <w:sz w:val="21"/>
                <w:szCs w:val="21"/>
                <w:lang w:eastAsia="zh-CN"/>
              </w:rPr>
              <w:t>、</w:t>
            </w:r>
            <w:r>
              <w:rPr>
                <w:rFonts w:hint="default" w:ascii="Times New Roman" w:hAnsi="Times New Roman" w:eastAsia="宋体" w:cs="Times New Roman"/>
                <w:snapToGrid/>
                <w:sz w:val="21"/>
                <w:szCs w:val="21"/>
              </w:rPr>
              <w:t>12V单体</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只</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120</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default" w:ascii="Times New Roman" w:hAnsi="Times New Roman" w:eastAsia="宋体" w:cs="Times New Roman"/>
                <w:snapToGrid/>
                <w:sz w:val="21"/>
                <w:szCs w:val="21"/>
              </w:rPr>
              <w:t>1</w:t>
            </w:r>
            <w:r>
              <w:rPr>
                <w:rFonts w:hint="eastAsia" w:ascii="Times New Roman" w:hAnsi="Times New Roman" w:eastAsia="宋体" w:cs="Times New Roman"/>
                <w:snapToGrid/>
                <w:sz w:val="21"/>
                <w:szCs w:val="21"/>
                <w:lang w:val="en-US" w:eastAsia="zh-CN"/>
              </w:rPr>
              <w:t>2</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电池架</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可放置40只200AH电池</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套</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3</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default" w:ascii="Times New Roman" w:hAnsi="Times New Roman" w:eastAsia="宋体" w:cs="Times New Roman"/>
                <w:snapToGrid/>
                <w:sz w:val="21"/>
                <w:szCs w:val="21"/>
              </w:rPr>
              <w:t>1</w:t>
            </w:r>
            <w:r>
              <w:rPr>
                <w:rFonts w:hint="eastAsia" w:ascii="Times New Roman" w:hAnsi="Times New Roman" w:eastAsia="宋体" w:cs="Times New Roman"/>
                <w:snapToGrid/>
                <w:sz w:val="21"/>
                <w:szCs w:val="21"/>
                <w:lang w:val="en-US" w:eastAsia="zh-CN"/>
              </w:rPr>
              <w:t>3</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电池开关箱</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250A/3P×3，630A汇流排</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套</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default" w:ascii="Times New Roman" w:hAnsi="Times New Roman" w:eastAsia="宋体" w:cs="Times New Roman"/>
                <w:snapToGrid/>
                <w:sz w:val="21"/>
                <w:szCs w:val="21"/>
              </w:rPr>
              <w:t>1</w:t>
            </w:r>
            <w:r>
              <w:rPr>
                <w:rFonts w:hint="eastAsia" w:ascii="Times New Roman" w:hAnsi="Times New Roman" w:eastAsia="宋体" w:cs="Times New Roman"/>
                <w:snapToGrid/>
                <w:sz w:val="21"/>
                <w:szCs w:val="21"/>
                <w:lang w:val="en-US" w:eastAsia="zh-CN"/>
              </w:rPr>
              <w:t>4</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互投输入柜</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eastAsia" w:ascii="Times New Roman" w:hAnsi="Times New Roman" w:eastAsia="宋体" w:cs="Times New Roman"/>
                <w:snapToGrid/>
                <w:sz w:val="21"/>
                <w:szCs w:val="21"/>
                <w:lang w:eastAsia="zh-CN"/>
              </w:rPr>
            </w:pPr>
            <w:r>
              <w:rPr>
                <w:rFonts w:hint="default" w:ascii="Times New Roman" w:hAnsi="Times New Roman" w:eastAsia="宋体" w:cs="Times New Roman"/>
                <w:snapToGrid/>
                <w:sz w:val="21"/>
                <w:szCs w:val="21"/>
              </w:rPr>
              <w:t>400A ATS双路总输入</w:t>
            </w:r>
            <w:r>
              <w:rPr>
                <w:rFonts w:hint="eastAsia" w:ascii="Times New Roman" w:hAnsi="Times New Roman" w:eastAsia="宋体" w:cs="Times New Roman"/>
                <w:snapToGrid/>
                <w:sz w:val="21"/>
                <w:szCs w:val="21"/>
                <w:lang w:eastAsia="zh-CN"/>
              </w:rPr>
              <w:t>；</w:t>
            </w:r>
          </w:p>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lang w:val="en-US" w:eastAsia="zh-CN"/>
              </w:rPr>
            </w:pPr>
            <w:r>
              <w:rPr>
                <w:rFonts w:hint="default" w:ascii="Times New Roman" w:hAnsi="Times New Roman" w:eastAsia="宋体" w:cs="Times New Roman"/>
                <w:snapToGrid/>
                <w:sz w:val="21"/>
                <w:szCs w:val="21"/>
              </w:rPr>
              <w:t>输出：400A整定到320A/3P×2，250A/3P×1</w:t>
            </w:r>
            <w:r>
              <w:rPr>
                <w:rFonts w:hint="eastAsia" w:cs="Times New Roman"/>
                <w:snapToGrid/>
                <w:sz w:val="21"/>
                <w:szCs w:val="21"/>
                <w:lang w:eastAsia="zh-CN"/>
              </w:rPr>
              <w:t>、</w:t>
            </w:r>
            <w:r>
              <w:rPr>
                <w:rFonts w:hint="default" w:ascii="Times New Roman" w:hAnsi="Times New Roman" w:eastAsia="宋体" w:cs="Times New Roman"/>
                <w:snapToGrid/>
                <w:sz w:val="21"/>
                <w:szCs w:val="21"/>
              </w:rPr>
              <w:t>63A/3P×2</w:t>
            </w:r>
            <w:r>
              <w:rPr>
                <w:rFonts w:hint="eastAsia" w:cs="Times New Roman"/>
                <w:snapToGrid/>
                <w:sz w:val="21"/>
                <w:szCs w:val="21"/>
                <w:lang w:eastAsia="zh-CN"/>
              </w:rPr>
              <w:t>、</w:t>
            </w:r>
            <w:r>
              <w:rPr>
                <w:rFonts w:hint="default" w:ascii="Times New Roman" w:hAnsi="Times New Roman" w:eastAsia="宋体" w:cs="Times New Roman"/>
                <w:snapToGrid/>
                <w:sz w:val="21"/>
                <w:szCs w:val="21"/>
              </w:rPr>
              <w:t>32A/3P×2</w:t>
            </w:r>
            <w:r>
              <w:rPr>
                <w:rFonts w:hint="eastAsia" w:cs="Times New Roman"/>
                <w:snapToGrid/>
                <w:sz w:val="21"/>
                <w:szCs w:val="21"/>
                <w:lang w:eastAsia="zh-CN"/>
              </w:rPr>
              <w:t>、</w:t>
            </w:r>
            <w:r>
              <w:rPr>
                <w:rFonts w:hint="default" w:ascii="Times New Roman" w:hAnsi="Times New Roman" w:eastAsia="宋体" w:cs="Times New Roman"/>
                <w:snapToGrid/>
                <w:sz w:val="21"/>
                <w:szCs w:val="21"/>
              </w:rPr>
              <w:t>40A/P×3</w:t>
            </w:r>
            <w:r>
              <w:rPr>
                <w:rFonts w:hint="eastAsia" w:cs="Times New Roman"/>
                <w:snapToGrid/>
                <w:sz w:val="21"/>
                <w:szCs w:val="21"/>
                <w:lang w:eastAsia="zh-CN"/>
              </w:rPr>
              <w:t>、</w:t>
            </w:r>
            <w:r>
              <w:rPr>
                <w:rFonts w:hint="default" w:ascii="Times New Roman" w:hAnsi="Times New Roman" w:eastAsia="宋体" w:cs="Times New Roman"/>
                <w:snapToGrid/>
                <w:sz w:val="21"/>
                <w:szCs w:val="21"/>
              </w:rPr>
              <w:t>16A/P×3</w:t>
            </w:r>
            <w:r>
              <w:rPr>
                <w:rFonts w:hint="eastAsia" w:cs="Times New Roman"/>
                <w:snapToGrid/>
                <w:sz w:val="21"/>
                <w:szCs w:val="21"/>
                <w:lang w:eastAsia="zh-CN"/>
              </w:rPr>
              <w:t>，</w:t>
            </w:r>
            <w:r>
              <w:rPr>
                <w:rFonts w:hint="eastAsia" w:cs="Times New Roman"/>
                <w:snapToGrid/>
                <w:sz w:val="21"/>
                <w:szCs w:val="21"/>
                <w:lang w:val="en-US" w:eastAsia="zh-CN"/>
              </w:rPr>
              <w:t>带监控</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default" w:ascii="Times New Roman" w:hAnsi="Times New Roman" w:eastAsia="宋体" w:cs="Times New Roman"/>
                <w:snapToGrid/>
                <w:sz w:val="21"/>
                <w:szCs w:val="21"/>
              </w:rPr>
              <w:t>1</w:t>
            </w:r>
            <w:r>
              <w:rPr>
                <w:rFonts w:hint="eastAsia" w:ascii="Times New Roman" w:hAnsi="Times New Roman" w:eastAsia="宋体" w:cs="Times New Roman"/>
                <w:snapToGrid/>
                <w:sz w:val="21"/>
                <w:szCs w:val="21"/>
                <w:lang w:val="en-US" w:eastAsia="zh-CN"/>
              </w:rPr>
              <w:t>5</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UPS输出柜</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eastAsia" w:ascii="Times New Roman" w:hAnsi="Times New Roman" w:eastAsia="宋体" w:cs="Times New Roman"/>
                <w:snapToGrid/>
                <w:sz w:val="21"/>
                <w:szCs w:val="21"/>
                <w:lang w:eastAsia="zh-CN"/>
              </w:rPr>
            </w:pPr>
            <w:r>
              <w:rPr>
                <w:rFonts w:hint="default" w:ascii="Times New Roman" w:hAnsi="Times New Roman" w:eastAsia="宋体" w:cs="Times New Roman"/>
                <w:snapToGrid/>
                <w:sz w:val="21"/>
                <w:szCs w:val="21"/>
              </w:rPr>
              <w:t>输入：400A整定到280A/3P×2</w:t>
            </w:r>
            <w:r>
              <w:rPr>
                <w:rFonts w:hint="eastAsia" w:ascii="Times New Roman" w:hAnsi="Times New Roman" w:eastAsia="宋体" w:cs="Times New Roman"/>
                <w:snapToGrid/>
                <w:sz w:val="21"/>
                <w:szCs w:val="21"/>
                <w:lang w:eastAsia="zh-CN"/>
              </w:rPr>
              <w:t>；</w:t>
            </w:r>
          </w:p>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输出：250A/3P，50A/3P，16A/2P×30</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lang w:val="en-US" w:eastAsia="zh-CN"/>
              </w:rPr>
            </w:pPr>
            <w:r>
              <w:rPr>
                <w:rFonts w:hint="eastAsia" w:cs="Times New Roman"/>
                <w:snapToGrid/>
                <w:sz w:val="21"/>
                <w:szCs w:val="21"/>
                <w:lang w:val="en-US" w:eastAsia="zh-CN"/>
              </w:rPr>
              <w:t>16</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台式</w:t>
            </w:r>
            <w:r>
              <w:rPr>
                <w:rFonts w:hint="eastAsia" w:cs="Times New Roman"/>
                <w:snapToGrid/>
                <w:sz w:val="21"/>
                <w:szCs w:val="21"/>
                <w:lang w:val="en-US" w:eastAsia="zh-CN"/>
              </w:rPr>
              <w:t>主</w:t>
            </w:r>
            <w:r>
              <w:rPr>
                <w:rFonts w:hint="default" w:ascii="Times New Roman" w:hAnsi="Times New Roman" w:eastAsia="宋体" w:cs="Times New Roman"/>
                <w:snapToGrid/>
                <w:sz w:val="21"/>
                <w:szCs w:val="21"/>
              </w:rPr>
              <w:t>机</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lang w:val="en-US" w:eastAsia="zh-CN"/>
              </w:rPr>
            </w:pPr>
            <w:r>
              <w:rPr>
                <w:rFonts w:hint="eastAsia" w:cs="Times New Roman"/>
                <w:snapToGrid/>
                <w:sz w:val="21"/>
                <w:szCs w:val="21"/>
                <w:lang w:val="en-US" w:eastAsia="zh-CN"/>
              </w:rPr>
              <w:t>含键盘、鼠标</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台</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lang w:val="en-US" w:eastAsia="zh-CN"/>
              </w:rPr>
            </w:pPr>
            <w:r>
              <w:rPr>
                <w:rFonts w:hint="eastAsia" w:cs="Times New Roman"/>
                <w:snapToGrid/>
                <w:sz w:val="21"/>
                <w:szCs w:val="21"/>
                <w:lang w:val="en-US" w:eastAsia="zh-CN"/>
              </w:rPr>
              <w:t>22</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lang w:val="en-US" w:eastAsia="zh-CN"/>
              </w:rPr>
            </w:pPr>
            <w:r>
              <w:rPr>
                <w:rFonts w:hint="eastAsia" w:cs="Times New Roman"/>
                <w:snapToGrid/>
                <w:sz w:val="21"/>
                <w:szCs w:val="21"/>
                <w:lang w:val="en-US" w:eastAsia="zh-CN"/>
              </w:rPr>
              <w:t>17</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lang w:val="en-US" w:eastAsia="zh-CN"/>
              </w:rPr>
            </w:pPr>
            <w:r>
              <w:rPr>
                <w:rFonts w:hint="eastAsia" w:cs="Times New Roman"/>
                <w:snapToGrid/>
                <w:sz w:val="21"/>
                <w:szCs w:val="21"/>
                <w:lang w:val="en-US" w:eastAsia="zh-CN"/>
              </w:rPr>
              <w:t>安装辅材</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eastAsia" w:ascii="Times New Roman" w:hAnsi="Times New Roman" w:eastAsia="宋体" w:cs="Times New Roman"/>
                <w:snapToGrid/>
                <w:sz w:val="21"/>
                <w:szCs w:val="21"/>
                <w:lang w:val="en-US" w:eastAsia="zh-CN"/>
              </w:rPr>
            </w:pPr>
            <w:r>
              <w:rPr>
                <w:rFonts w:hint="eastAsia" w:ascii="Times New Roman" w:hAnsi="Times New Roman" w:eastAsia="宋体" w:cs="Times New Roman"/>
                <w:snapToGrid/>
                <w:sz w:val="21"/>
                <w:szCs w:val="21"/>
              </w:rPr>
              <w:t>8#槽钢机柜支架</w:t>
            </w:r>
            <w:r>
              <w:rPr>
                <w:rFonts w:hint="eastAsia" w:ascii="Times New Roman" w:hAnsi="Times New Roman" w:eastAsia="宋体" w:cs="Times New Roman"/>
                <w:snapToGrid/>
                <w:sz w:val="21"/>
                <w:szCs w:val="21"/>
                <w:lang w:eastAsia="zh-CN"/>
              </w:rPr>
              <w:t>、</w:t>
            </w:r>
            <w:r>
              <w:rPr>
                <w:rFonts w:hint="eastAsia" w:ascii="Times New Roman" w:hAnsi="Times New Roman" w:eastAsia="宋体" w:cs="Times New Roman"/>
                <w:snapToGrid/>
                <w:sz w:val="21"/>
                <w:szCs w:val="21"/>
              </w:rPr>
              <w:t>上水管</w:t>
            </w:r>
            <w:r>
              <w:rPr>
                <w:rFonts w:hint="eastAsia" w:ascii="Times New Roman" w:hAnsi="Times New Roman" w:eastAsia="宋体" w:cs="Times New Roman"/>
                <w:snapToGrid/>
                <w:sz w:val="21"/>
                <w:szCs w:val="21"/>
                <w:lang w:eastAsia="zh-CN"/>
              </w:rPr>
              <w:t>、</w:t>
            </w:r>
            <w:r>
              <w:rPr>
                <w:rFonts w:hint="eastAsia" w:ascii="Times New Roman" w:hAnsi="Times New Roman" w:eastAsia="宋体" w:cs="Times New Roman"/>
                <w:snapToGrid/>
                <w:sz w:val="21"/>
                <w:szCs w:val="21"/>
              </w:rPr>
              <w:t>排水管主管</w:t>
            </w:r>
            <w:r>
              <w:rPr>
                <w:rFonts w:hint="eastAsia" w:ascii="Times New Roman" w:hAnsi="Times New Roman" w:eastAsia="宋体" w:cs="Times New Roman"/>
                <w:snapToGrid/>
                <w:sz w:val="21"/>
                <w:szCs w:val="21"/>
                <w:lang w:eastAsia="zh-CN"/>
              </w:rPr>
              <w:t>、</w:t>
            </w:r>
            <w:r>
              <w:rPr>
                <w:rFonts w:hint="eastAsia" w:ascii="Times New Roman" w:hAnsi="Times New Roman" w:eastAsia="宋体" w:cs="Times New Roman"/>
                <w:snapToGrid/>
                <w:sz w:val="21"/>
                <w:szCs w:val="21"/>
              </w:rPr>
              <w:t>排水支管</w:t>
            </w:r>
            <w:r>
              <w:rPr>
                <w:rFonts w:hint="eastAsia" w:ascii="Times New Roman" w:hAnsi="Times New Roman" w:eastAsia="宋体" w:cs="Times New Roman"/>
                <w:snapToGrid/>
                <w:sz w:val="21"/>
                <w:szCs w:val="21"/>
                <w:lang w:val="en-US" w:eastAsia="zh-CN"/>
              </w:rPr>
              <w:t>等</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val="en-US" w:eastAsia="zh-CN"/>
              </w:rPr>
            </w:pPr>
            <w:r>
              <w:rPr>
                <w:rFonts w:hint="eastAsia" w:cs="Times New Roman"/>
                <w:snapToGrid/>
                <w:sz w:val="21"/>
                <w:szCs w:val="21"/>
                <w:lang w:val="en-US" w:eastAsia="zh-CN"/>
              </w:rPr>
              <w:t>项</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val="en-US" w:eastAsia="zh-CN"/>
              </w:rPr>
            </w:pPr>
            <w:r>
              <w:rPr>
                <w:rFonts w:hint="eastAsia" w:cs="Times New Roman"/>
                <w:snapToGrid/>
                <w:sz w:val="21"/>
                <w:szCs w:val="21"/>
                <w:lang w:val="en-US" w:eastAsia="zh-CN"/>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jc w:val="center"/>
        </w:trPr>
        <w:tc>
          <w:tcPr>
            <w:tcW w:w="73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eastAsia" w:ascii="Times New Roman" w:hAnsi="Times New Roman" w:eastAsia="宋体" w:cs="Times New Roman"/>
                <w:snapToGrid/>
                <w:sz w:val="21"/>
                <w:szCs w:val="21"/>
                <w:lang w:eastAsia="zh-CN"/>
              </w:rPr>
            </w:pPr>
            <w:r>
              <w:rPr>
                <w:rFonts w:hint="default" w:ascii="Times New Roman" w:hAnsi="Times New Roman" w:eastAsia="宋体" w:cs="Times New Roman"/>
                <w:snapToGrid/>
                <w:sz w:val="21"/>
                <w:szCs w:val="21"/>
              </w:rPr>
              <w:t>1</w:t>
            </w:r>
            <w:r>
              <w:rPr>
                <w:rFonts w:hint="eastAsia" w:cs="Times New Roman"/>
                <w:snapToGrid/>
                <w:sz w:val="21"/>
                <w:szCs w:val="21"/>
                <w:lang w:val="en-US" w:eastAsia="zh-CN"/>
              </w:rPr>
              <w:t>8</w:t>
            </w:r>
          </w:p>
        </w:tc>
        <w:tc>
          <w:tcPr>
            <w:tcW w:w="1545" w:type="dxa"/>
            <w:tcBorders>
              <w:tl2br w:val="nil"/>
              <w:tr2bl w:val="nil"/>
            </w:tcBorders>
            <w:noWrap w:val="0"/>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安装实施</w:t>
            </w:r>
          </w:p>
        </w:tc>
        <w:tc>
          <w:tcPr>
            <w:tcW w:w="3630" w:type="dxa"/>
            <w:tcBorders>
              <w:tl2br w:val="nil"/>
              <w:tr2bl w:val="nil"/>
            </w:tcBorders>
            <w:noWrap w:val="0"/>
            <w:vAlign w:val="center"/>
          </w:tcPr>
          <w:p>
            <w:pPr>
              <w:kinsoku/>
              <w:autoSpaceDE/>
              <w:autoSpaceDN/>
              <w:adjustRightInd/>
              <w:snapToGrid/>
              <w:spacing w:line="240" w:lineRule="auto"/>
              <w:ind w:left="0" w:leftChars="0" w:firstLine="0" w:firstLineChars="0"/>
              <w:jc w:val="both"/>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lang w:val="en-US" w:eastAsia="zh-CN"/>
              </w:rPr>
              <w:t>含</w:t>
            </w:r>
            <w:r>
              <w:rPr>
                <w:rFonts w:hint="eastAsia" w:ascii="Times New Roman" w:hAnsi="Times New Roman" w:eastAsia="宋体" w:cs="Times New Roman"/>
                <w:snapToGrid/>
                <w:sz w:val="21"/>
                <w:szCs w:val="21"/>
                <w:lang w:val="en-US" w:eastAsia="zh-CN"/>
              </w:rPr>
              <w:t>甲供设备</w:t>
            </w:r>
            <w:r>
              <w:rPr>
                <w:rFonts w:hint="eastAsia" w:cs="Times New Roman"/>
                <w:snapToGrid/>
                <w:sz w:val="21"/>
                <w:szCs w:val="21"/>
                <w:lang w:val="en-US" w:eastAsia="zh-CN"/>
              </w:rPr>
              <w:t>、</w:t>
            </w:r>
            <w:r>
              <w:rPr>
                <w:rFonts w:hint="eastAsia" w:ascii="Times New Roman" w:hAnsi="Times New Roman" w:eastAsia="宋体" w:cs="Times New Roman"/>
                <w:snapToGrid/>
                <w:sz w:val="21"/>
                <w:szCs w:val="21"/>
              </w:rPr>
              <w:t>8#槽钢机柜支架</w:t>
            </w:r>
            <w:r>
              <w:rPr>
                <w:rFonts w:hint="eastAsia" w:cs="Times New Roman"/>
                <w:snapToGrid/>
                <w:sz w:val="21"/>
                <w:szCs w:val="21"/>
                <w:lang w:eastAsia="zh-CN"/>
              </w:rPr>
              <w:t>、</w:t>
            </w:r>
            <w:r>
              <w:rPr>
                <w:rFonts w:hint="eastAsia" w:cs="Times New Roman"/>
                <w:snapToGrid/>
                <w:sz w:val="21"/>
                <w:szCs w:val="21"/>
                <w:lang w:val="en-US" w:eastAsia="zh-CN"/>
              </w:rPr>
              <w:t>机房电缆</w:t>
            </w:r>
            <w:r>
              <w:rPr>
                <w:rFonts w:hint="default" w:ascii="Times New Roman" w:hAnsi="Times New Roman" w:eastAsia="宋体" w:cs="Times New Roman"/>
                <w:snapToGrid/>
                <w:sz w:val="21"/>
                <w:szCs w:val="21"/>
                <w:lang w:val="en-US" w:eastAsia="zh-CN"/>
              </w:rPr>
              <w:t>安装</w:t>
            </w:r>
            <w:r>
              <w:rPr>
                <w:rFonts w:hint="eastAsia" w:cs="Times New Roman"/>
                <w:snapToGrid/>
                <w:sz w:val="21"/>
                <w:szCs w:val="21"/>
                <w:lang w:val="en-US" w:eastAsia="zh-CN"/>
              </w:rPr>
              <w:t>及调试</w:t>
            </w:r>
            <w:r>
              <w:rPr>
                <w:rFonts w:hint="eastAsia" w:ascii="Times New Roman" w:hAnsi="Times New Roman" w:eastAsia="宋体" w:cs="Times New Roman"/>
                <w:snapToGrid/>
                <w:sz w:val="21"/>
                <w:szCs w:val="21"/>
                <w:lang w:val="en-US" w:eastAsia="zh-CN"/>
              </w:rPr>
              <w:t>；含蓄电池、电池架、电池开关箱、互投输入柜、</w:t>
            </w:r>
            <w:r>
              <w:rPr>
                <w:rFonts w:hint="default" w:ascii="Times New Roman" w:hAnsi="Times New Roman" w:eastAsia="宋体" w:cs="Times New Roman"/>
                <w:snapToGrid/>
                <w:sz w:val="21"/>
                <w:szCs w:val="21"/>
                <w:lang w:val="en-US" w:eastAsia="zh-CN"/>
              </w:rPr>
              <w:t>UPS输出柜</w:t>
            </w:r>
            <w:r>
              <w:rPr>
                <w:rFonts w:hint="eastAsia" w:ascii="Times New Roman" w:hAnsi="Times New Roman" w:eastAsia="宋体" w:cs="Times New Roman"/>
                <w:snapToGrid/>
                <w:sz w:val="21"/>
                <w:szCs w:val="21"/>
                <w:lang w:val="en-US" w:eastAsia="zh-CN"/>
              </w:rPr>
              <w:t>安装、调试；</w:t>
            </w:r>
            <w:r>
              <w:rPr>
                <w:rFonts w:hint="default" w:ascii="Times New Roman" w:hAnsi="Times New Roman" w:eastAsia="宋体" w:cs="Times New Roman"/>
                <w:snapToGrid/>
                <w:sz w:val="21"/>
                <w:szCs w:val="21"/>
                <w:lang w:val="en-US" w:eastAsia="zh-CN"/>
              </w:rPr>
              <w:t>含空调、铜管、底座等</w:t>
            </w:r>
            <w:r>
              <w:rPr>
                <w:rFonts w:hint="eastAsia" w:cs="Times New Roman"/>
                <w:snapToGrid/>
                <w:sz w:val="21"/>
                <w:szCs w:val="21"/>
                <w:lang w:val="en-US" w:eastAsia="zh-CN"/>
              </w:rPr>
              <w:t>安装、调试</w:t>
            </w:r>
            <w:r>
              <w:rPr>
                <w:rFonts w:hint="eastAsia" w:ascii="Times New Roman" w:hAnsi="Times New Roman" w:eastAsia="宋体" w:cs="Times New Roman"/>
                <w:snapToGrid/>
                <w:sz w:val="21"/>
                <w:szCs w:val="21"/>
                <w:lang w:val="en-US" w:eastAsia="zh-CN"/>
              </w:rPr>
              <w:t>；含防雷、接地实施；含给排水管路实施；含控制机房整体调试及维保等</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项</w:t>
            </w:r>
          </w:p>
        </w:tc>
        <w:tc>
          <w:tcPr>
            <w:tcW w:w="70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r>
              <w:rPr>
                <w:rFonts w:hint="default" w:ascii="Times New Roman" w:hAnsi="Times New Roman" w:eastAsia="宋体" w:cs="Times New Roman"/>
                <w:snapToGrid/>
                <w:sz w:val="21"/>
                <w:szCs w:val="21"/>
              </w:rPr>
              <w:t>1</w:t>
            </w:r>
          </w:p>
        </w:tc>
        <w:tc>
          <w:tcPr>
            <w:tcW w:w="885"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c>
          <w:tcPr>
            <w:tcW w:w="841" w:type="dxa"/>
            <w:tcBorders>
              <w:tl2br w:val="nil"/>
              <w:tr2bl w:val="nil"/>
            </w:tcBorders>
            <w:noWrap/>
            <w:vAlign w:val="center"/>
          </w:tcPr>
          <w:p>
            <w:pPr>
              <w:kinsoku/>
              <w:autoSpaceDE/>
              <w:autoSpaceDN/>
              <w:adjustRightInd/>
              <w:snapToGrid/>
              <w:spacing w:line="240" w:lineRule="auto"/>
              <w:ind w:left="0" w:leftChars="0" w:firstLine="0" w:firstLineChars="0"/>
              <w:jc w:val="center"/>
              <w:textAlignment w:val="auto"/>
              <w:rPr>
                <w:rFonts w:hint="default" w:ascii="Times New Roman" w:hAnsi="Times New Roman" w:eastAsia="宋体" w:cs="Times New Roman"/>
                <w:snapToGrid/>
                <w:sz w:val="21"/>
                <w:szCs w:val="21"/>
              </w:rPr>
            </w:pPr>
          </w:p>
        </w:tc>
      </w:tr>
    </w:tbl>
    <w:p>
      <w:pPr>
        <w:overflowPunct/>
        <w:spacing w:line="520" w:lineRule="exact"/>
        <w:ind w:firstLine="480" w:firstLineChars="200"/>
        <w:rPr>
          <w:rFonts w:hint="default" w:ascii="Times New Roman" w:hAnsi="Times New Roman" w:eastAsia="宋体"/>
          <w:color w:val="000000"/>
          <w:sz w:val="24"/>
          <w:szCs w:val="22"/>
          <w:highlight w:val="none"/>
          <w:lang w:val="en-US" w:eastAsia="zh-CN"/>
        </w:rPr>
      </w:pPr>
      <w:r>
        <w:rPr>
          <w:rFonts w:hint="default" w:ascii="Times New Roman" w:hAnsi="Times New Roman" w:eastAsia="宋体"/>
          <w:color w:val="000000"/>
          <w:sz w:val="24"/>
          <w:szCs w:val="22"/>
          <w:highlight w:val="none"/>
          <w:lang w:val="en-US" w:eastAsia="zh-CN"/>
        </w:rPr>
        <w:t>以上设备数量仅为</w:t>
      </w:r>
      <w:r>
        <w:rPr>
          <w:rFonts w:hint="eastAsia"/>
          <w:color w:val="000000"/>
          <w:lang w:val="en-US" w:eastAsia="zh-CN"/>
        </w:rPr>
        <w:t>主要设备及材料</w:t>
      </w:r>
      <w:r>
        <w:rPr>
          <w:rFonts w:hint="default" w:ascii="Times New Roman" w:hAnsi="Times New Roman" w:eastAsia="宋体"/>
          <w:color w:val="000000"/>
          <w:sz w:val="24"/>
          <w:szCs w:val="22"/>
          <w:highlight w:val="none"/>
          <w:lang w:val="en-US" w:eastAsia="zh-CN"/>
        </w:rPr>
        <w:t>，必须包含在</w:t>
      </w:r>
      <w:r>
        <w:rPr>
          <w:rFonts w:hint="eastAsia"/>
          <w:color w:val="000000"/>
          <w:sz w:val="24"/>
          <w:szCs w:val="22"/>
          <w:highlight w:val="none"/>
          <w:lang w:val="en-US" w:eastAsia="zh-CN"/>
        </w:rPr>
        <w:t>投标报价</w:t>
      </w:r>
      <w:r>
        <w:rPr>
          <w:rFonts w:hint="default" w:ascii="Times New Roman" w:hAnsi="Times New Roman" w:eastAsia="宋体"/>
          <w:color w:val="000000"/>
          <w:sz w:val="24"/>
          <w:szCs w:val="22"/>
          <w:highlight w:val="none"/>
          <w:lang w:val="en-US" w:eastAsia="zh-CN"/>
        </w:rPr>
        <w:t>中，但不仅限于以上设备</w:t>
      </w:r>
      <w:r>
        <w:rPr>
          <w:rFonts w:hint="eastAsia" w:ascii="Times New Roman" w:hAnsi="Times New Roman" w:eastAsia="宋体"/>
          <w:color w:val="000000"/>
          <w:sz w:val="24"/>
          <w:szCs w:val="22"/>
          <w:highlight w:val="none"/>
          <w:lang w:val="en-US" w:eastAsia="zh-CN"/>
        </w:rPr>
        <w:t>。</w:t>
      </w:r>
      <w:r>
        <w:rPr>
          <w:rFonts w:hint="default" w:ascii="Times New Roman" w:hAnsi="Times New Roman" w:eastAsia="宋体"/>
          <w:color w:val="000000"/>
          <w:sz w:val="24"/>
          <w:szCs w:val="22"/>
          <w:highlight w:val="none"/>
          <w:lang w:val="en-US" w:eastAsia="zh-CN"/>
        </w:rPr>
        <w:t>为保证系统正常运行，其它连接器件、线缆等软硬件设备、材料以及维护工具由</w:t>
      </w:r>
      <w:r>
        <w:rPr>
          <w:rFonts w:hint="eastAsia"/>
          <w:color w:val="000000"/>
          <w:sz w:val="24"/>
          <w:szCs w:val="22"/>
          <w:highlight w:val="none"/>
          <w:lang w:val="en-US" w:eastAsia="zh-CN"/>
        </w:rPr>
        <w:t>投标方</w:t>
      </w:r>
      <w:r>
        <w:rPr>
          <w:rFonts w:hint="default" w:ascii="Times New Roman" w:hAnsi="Times New Roman" w:eastAsia="宋体"/>
          <w:color w:val="000000"/>
          <w:sz w:val="24"/>
          <w:szCs w:val="22"/>
          <w:highlight w:val="none"/>
          <w:lang w:val="en-US" w:eastAsia="zh-CN"/>
        </w:rPr>
        <w:t>根据实际情况配置，并包含在</w:t>
      </w:r>
      <w:r>
        <w:rPr>
          <w:rFonts w:hint="eastAsia"/>
          <w:color w:val="000000"/>
          <w:sz w:val="24"/>
          <w:szCs w:val="22"/>
          <w:highlight w:val="none"/>
          <w:lang w:val="en-US" w:eastAsia="zh-CN"/>
        </w:rPr>
        <w:t>投标报价</w:t>
      </w:r>
      <w:r>
        <w:rPr>
          <w:rFonts w:hint="default" w:ascii="Times New Roman" w:hAnsi="Times New Roman" w:eastAsia="宋体"/>
          <w:color w:val="000000"/>
          <w:sz w:val="24"/>
          <w:szCs w:val="22"/>
          <w:highlight w:val="none"/>
          <w:lang w:val="en-US" w:eastAsia="zh-CN"/>
        </w:rPr>
        <w:t>中，同时必须满足现场实际需求。</w:t>
      </w:r>
    </w:p>
    <w:p>
      <w:pPr>
        <w:spacing w:before="120" w:beforeLines="50" w:after="120" w:afterLines="50" w:line="500" w:lineRule="exact"/>
        <w:ind w:firstLine="562" w:firstLineChars="200"/>
        <w:outlineLvl w:val="0"/>
        <w:rPr>
          <w:rFonts w:hint="eastAsia" w:eastAsia="黑体"/>
          <w:b/>
          <w:sz w:val="28"/>
          <w:szCs w:val="28"/>
        </w:rPr>
      </w:pPr>
      <w:bookmarkStart w:id="224" w:name="_Toc341963400"/>
      <w:bookmarkStart w:id="225" w:name="_Toc25832"/>
      <w:bookmarkStart w:id="226" w:name="_Toc340472150"/>
      <w:bookmarkStart w:id="227" w:name="_Toc23099_WPSOffice_Level1"/>
      <w:bookmarkStart w:id="228" w:name="_Toc340652738"/>
      <w:bookmarkStart w:id="229" w:name="_Toc365451051"/>
      <w:bookmarkStart w:id="230" w:name="_Toc349291023"/>
      <w:bookmarkStart w:id="231" w:name="_Toc340428000"/>
      <w:bookmarkStart w:id="232" w:name="_Toc349290979"/>
      <w:bookmarkStart w:id="233" w:name="_Toc338081386"/>
      <w:bookmarkStart w:id="234" w:name="_Toc341102984"/>
      <w:bookmarkStart w:id="235" w:name="_Toc340673340"/>
      <w:bookmarkStart w:id="236" w:name="_Toc351388900"/>
      <w:bookmarkStart w:id="237" w:name="_Toc349290852"/>
      <w:bookmarkStart w:id="238" w:name="_Toc18052"/>
      <w:bookmarkStart w:id="239" w:name="_Toc340429047"/>
      <w:bookmarkStart w:id="240" w:name="_Toc340648245"/>
      <w:bookmarkStart w:id="241" w:name="_Toc342489102"/>
      <w:bookmarkStart w:id="242" w:name="_Toc340648615"/>
      <w:bookmarkStart w:id="243" w:name="_Toc340429306"/>
      <w:bookmarkStart w:id="244" w:name="_Toc338420960"/>
      <w:bookmarkStart w:id="245" w:name="_Toc12251_WPSOffice_Level1"/>
      <w:bookmarkStart w:id="246" w:name="_Toc346698255"/>
      <w:bookmarkStart w:id="247" w:name="_Toc340428953"/>
      <w:r>
        <w:rPr>
          <w:rFonts w:hint="eastAsia" w:eastAsia="黑体"/>
          <w:b/>
          <w:sz w:val="28"/>
          <w:szCs w:val="28"/>
          <w:lang w:val="en-US" w:eastAsia="zh-CN"/>
        </w:rPr>
        <w:t>六</w:t>
      </w:r>
      <w:r>
        <w:rPr>
          <w:rFonts w:hint="eastAsia" w:eastAsia="黑体"/>
          <w:b/>
          <w:sz w:val="28"/>
          <w:szCs w:val="28"/>
        </w:rPr>
        <w:t>、技术服务</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adjustRightInd w:val="0"/>
        <w:spacing w:line="500" w:lineRule="exact"/>
        <w:ind w:firstLine="466" w:firstLineChars="200"/>
        <w:outlineLvl w:val="1"/>
        <w:rPr>
          <w:rFonts w:hint="eastAsia"/>
          <w:b/>
          <w:bCs/>
          <w:spacing w:val="-4"/>
          <w:sz w:val="24"/>
          <w:szCs w:val="24"/>
        </w:rPr>
      </w:pPr>
      <w:bookmarkStart w:id="248" w:name="_Toc23576"/>
      <w:bookmarkStart w:id="249" w:name="_Toc295742303"/>
      <w:bookmarkStart w:id="250" w:name="_Toc338081387"/>
      <w:bookmarkStart w:id="251" w:name="_Toc351388901"/>
      <w:bookmarkStart w:id="252" w:name="_Toc340472151"/>
      <w:bookmarkStart w:id="253" w:name="_Toc365451052"/>
      <w:bookmarkStart w:id="254" w:name="_Toc340428001"/>
      <w:bookmarkStart w:id="255" w:name="_Toc349290980"/>
      <w:bookmarkStart w:id="256" w:name="_Toc30126_WPSOffice_Level2"/>
      <w:bookmarkStart w:id="257" w:name="_Toc293046488"/>
      <w:bookmarkStart w:id="258" w:name="_Toc31241_WPSOffice_Level2"/>
      <w:bookmarkStart w:id="259" w:name="_Toc3120"/>
      <w:bookmarkStart w:id="260" w:name="_Toc293046423"/>
      <w:bookmarkStart w:id="261" w:name="_Toc340673341"/>
      <w:bookmarkStart w:id="262" w:name="_Toc340652739"/>
      <w:bookmarkStart w:id="263" w:name="_Toc295720859"/>
      <w:bookmarkStart w:id="264" w:name="_Toc342489103"/>
      <w:bookmarkStart w:id="265" w:name="_Toc349290853"/>
      <w:bookmarkStart w:id="266" w:name="_Toc341102985"/>
      <w:bookmarkStart w:id="267" w:name="_Toc340648246"/>
      <w:bookmarkStart w:id="268" w:name="_Toc340428954"/>
      <w:bookmarkStart w:id="269" w:name="_Toc346698256"/>
      <w:bookmarkStart w:id="270" w:name="_Toc340429048"/>
      <w:bookmarkStart w:id="271" w:name="_Toc349291024"/>
      <w:bookmarkStart w:id="272" w:name="_Toc340429307"/>
      <w:bookmarkStart w:id="273" w:name="_Toc338420961"/>
      <w:bookmarkStart w:id="274" w:name="_Toc340648616"/>
      <w:bookmarkStart w:id="275" w:name="_Toc341963401"/>
      <w:r>
        <w:rPr>
          <w:rFonts w:hint="eastAsia"/>
          <w:b/>
          <w:bCs/>
          <w:spacing w:val="-4"/>
          <w:sz w:val="24"/>
          <w:szCs w:val="24"/>
          <w:lang w:val="en-US" w:eastAsia="zh-CN"/>
        </w:rPr>
        <w:t>1、</w:t>
      </w:r>
      <w:r>
        <w:rPr>
          <w:rFonts w:hint="eastAsia"/>
          <w:b/>
          <w:bCs/>
          <w:spacing w:val="-4"/>
          <w:sz w:val="24"/>
          <w:szCs w:val="24"/>
        </w:rPr>
        <w:t>项目管理</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line="500" w:lineRule="exact"/>
        <w:ind w:firstLine="480" w:firstLineChars="200"/>
        <w:rPr>
          <w:rFonts w:hint="eastAsia"/>
          <w:sz w:val="24"/>
          <w:szCs w:val="24"/>
        </w:rPr>
      </w:pPr>
      <w:r>
        <w:rPr>
          <w:rFonts w:hint="eastAsia"/>
          <w:color w:val="auto"/>
          <w:sz w:val="24"/>
          <w:szCs w:val="24"/>
        </w:rPr>
        <w:t>合同签订后，中标方应</w:t>
      </w:r>
      <w:r>
        <w:rPr>
          <w:rFonts w:hint="eastAsia"/>
          <w:color w:val="auto"/>
          <w:sz w:val="24"/>
          <w:szCs w:val="24"/>
          <w:lang w:val="en-US" w:eastAsia="zh-CN"/>
        </w:rPr>
        <w:t>组建完善的项目团队，建立项目组织架构；</w:t>
      </w:r>
      <w:r>
        <w:rPr>
          <w:rFonts w:hint="eastAsia"/>
          <w:color w:val="auto"/>
          <w:sz w:val="24"/>
          <w:szCs w:val="24"/>
        </w:rPr>
        <w:t>指定项目</w:t>
      </w:r>
      <w:r>
        <w:rPr>
          <w:rFonts w:hint="eastAsia"/>
          <w:color w:val="auto"/>
          <w:sz w:val="24"/>
          <w:szCs w:val="24"/>
          <w:lang w:val="en-US" w:eastAsia="zh-CN"/>
        </w:rPr>
        <w:t>经理</w:t>
      </w:r>
      <w:r>
        <w:rPr>
          <w:rFonts w:hint="eastAsia"/>
          <w:color w:val="auto"/>
          <w:sz w:val="24"/>
          <w:szCs w:val="24"/>
        </w:rPr>
        <w:t>，负责协调在项目全过程的各项工作，如项目进度、</w:t>
      </w:r>
      <w:r>
        <w:rPr>
          <w:rFonts w:hint="eastAsia"/>
          <w:color w:val="auto"/>
          <w:sz w:val="24"/>
          <w:szCs w:val="24"/>
          <w:lang w:val="en-US" w:eastAsia="zh-CN"/>
        </w:rPr>
        <w:t>工程质量、安全管理</w:t>
      </w:r>
      <w:r>
        <w:rPr>
          <w:rFonts w:hint="eastAsia"/>
          <w:color w:val="auto"/>
          <w:sz w:val="24"/>
          <w:szCs w:val="24"/>
        </w:rPr>
        <w:t>、</w:t>
      </w:r>
      <w:r>
        <w:rPr>
          <w:rFonts w:hint="eastAsia"/>
          <w:color w:val="auto"/>
          <w:sz w:val="24"/>
          <w:szCs w:val="24"/>
          <w:lang w:val="en-US" w:eastAsia="zh-CN"/>
        </w:rPr>
        <w:t>以及协调设备到货及验收、</w:t>
      </w:r>
      <w:r>
        <w:rPr>
          <w:rFonts w:hint="eastAsia"/>
          <w:color w:val="auto"/>
          <w:sz w:val="24"/>
          <w:szCs w:val="24"/>
        </w:rPr>
        <w:t>现场安装、调试等</w:t>
      </w:r>
      <w:r>
        <w:rPr>
          <w:rFonts w:hint="eastAsia"/>
          <w:color w:val="auto"/>
          <w:sz w:val="24"/>
          <w:szCs w:val="24"/>
          <w:lang w:val="en-US" w:eastAsia="zh-CN"/>
        </w:rPr>
        <w:t>，项目团队中应指派专人负责上述工作</w:t>
      </w:r>
      <w:r>
        <w:rPr>
          <w:rFonts w:hint="eastAsia"/>
          <w:sz w:val="24"/>
          <w:szCs w:val="24"/>
        </w:rPr>
        <w:t>。</w:t>
      </w:r>
    </w:p>
    <w:p>
      <w:pPr>
        <w:adjustRightInd w:val="0"/>
        <w:spacing w:line="500" w:lineRule="exact"/>
        <w:ind w:firstLine="466" w:firstLineChars="200"/>
        <w:outlineLvl w:val="1"/>
        <w:rPr>
          <w:b/>
          <w:bCs/>
          <w:spacing w:val="-4"/>
          <w:sz w:val="24"/>
          <w:szCs w:val="24"/>
        </w:rPr>
      </w:pPr>
      <w:bookmarkStart w:id="276" w:name="_Toc341963402"/>
      <w:bookmarkStart w:id="277" w:name="_Toc340673342"/>
      <w:bookmarkStart w:id="278" w:name="_Toc340648247"/>
      <w:bookmarkStart w:id="279" w:name="_Toc340648617"/>
      <w:bookmarkStart w:id="280" w:name="_Toc293046489"/>
      <w:bookmarkStart w:id="281" w:name="_Toc26347_WPSOffice_Level2"/>
      <w:bookmarkStart w:id="282" w:name="_Toc30519"/>
      <w:bookmarkStart w:id="283" w:name="_Toc340652740"/>
      <w:bookmarkStart w:id="284" w:name="_Toc351388902"/>
      <w:bookmarkStart w:id="285" w:name="_Toc1010_WPSOffice_Level2"/>
      <w:bookmarkStart w:id="286" w:name="_Toc365451053"/>
      <w:bookmarkStart w:id="287" w:name="_Toc341102986"/>
      <w:bookmarkStart w:id="288" w:name="_Toc342489104"/>
      <w:bookmarkStart w:id="289" w:name="_Toc293046424"/>
      <w:bookmarkStart w:id="290" w:name="_Toc346698257"/>
      <w:bookmarkStart w:id="291" w:name="_Toc340429308"/>
      <w:bookmarkStart w:id="292" w:name="_Toc349290981"/>
      <w:bookmarkStart w:id="293" w:name="_Toc295742304"/>
      <w:bookmarkStart w:id="294" w:name="_Toc340428955"/>
      <w:bookmarkStart w:id="295" w:name="_Toc338081388"/>
      <w:bookmarkStart w:id="296" w:name="_Toc349291025"/>
      <w:bookmarkStart w:id="297" w:name="_Toc349290854"/>
      <w:bookmarkStart w:id="298" w:name="_Toc338420962"/>
      <w:bookmarkStart w:id="299" w:name="_Toc295720860"/>
      <w:bookmarkStart w:id="300" w:name="_Toc19"/>
      <w:bookmarkStart w:id="301" w:name="_Toc340429049"/>
      <w:bookmarkStart w:id="302" w:name="_Toc340428002"/>
      <w:bookmarkStart w:id="303" w:name="_Toc340472152"/>
      <w:r>
        <w:rPr>
          <w:rFonts w:hint="eastAsia"/>
          <w:b/>
          <w:bCs/>
          <w:spacing w:val="-4"/>
          <w:sz w:val="24"/>
          <w:szCs w:val="24"/>
          <w:lang w:val="en-US" w:eastAsia="zh-CN"/>
        </w:rPr>
        <w:t>2、</w:t>
      </w:r>
      <w:r>
        <w:rPr>
          <w:b/>
          <w:bCs/>
          <w:spacing w:val="-4"/>
          <w:sz w:val="24"/>
          <w:szCs w:val="24"/>
        </w:rPr>
        <w:t>现场服务</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line="500" w:lineRule="exact"/>
        <w:ind w:firstLine="480" w:firstLineChars="200"/>
        <w:rPr>
          <w:sz w:val="24"/>
          <w:szCs w:val="24"/>
        </w:rPr>
      </w:pPr>
      <w:r>
        <w:rPr>
          <w:rFonts w:hint="eastAsia"/>
          <w:sz w:val="24"/>
          <w:szCs w:val="24"/>
          <w:lang w:val="en-US" w:eastAsia="zh-CN"/>
        </w:rPr>
        <w:t>1）</w:t>
      </w:r>
      <w:r>
        <w:rPr>
          <w:sz w:val="24"/>
          <w:szCs w:val="24"/>
        </w:rPr>
        <w:t>为便于设备的安装、调试和投运，</w:t>
      </w:r>
      <w:r>
        <w:rPr>
          <w:rFonts w:hint="eastAsia"/>
          <w:sz w:val="24"/>
          <w:szCs w:val="24"/>
        </w:rPr>
        <w:t>中标方</w:t>
      </w:r>
      <w:r>
        <w:rPr>
          <w:sz w:val="24"/>
          <w:szCs w:val="24"/>
        </w:rPr>
        <w:t>应派出熟练的技术人员或专家到合同现场进行技术服务，现场安装、调试和运行，详细解答合同范围内</w:t>
      </w:r>
      <w:r>
        <w:rPr>
          <w:rFonts w:hint="eastAsia"/>
          <w:sz w:val="24"/>
          <w:szCs w:val="24"/>
        </w:rPr>
        <w:t>招标方</w:t>
      </w:r>
      <w:r>
        <w:rPr>
          <w:sz w:val="24"/>
          <w:szCs w:val="24"/>
        </w:rPr>
        <w:t>提出的问题。对现场服务的次数、人数、时间、费用应在投标书中分项列出。</w:t>
      </w:r>
    </w:p>
    <w:p>
      <w:pPr>
        <w:spacing w:line="500" w:lineRule="exact"/>
        <w:ind w:firstLine="480" w:firstLineChars="200"/>
        <w:rPr>
          <w:sz w:val="24"/>
          <w:szCs w:val="24"/>
        </w:rPr>
      </w:pPr>
      <w:r>
        <w:rPr>
          <w:rFonts w:hint="eastAsia"/>
          <w:sz w:val="24"/>
          <w:szCs w:val="24"/>
          <w:lang w:val="en-US" w:eastAsia="zh-CN"/>
        </w:rPr>
        <w:t>2）</w:t>
      </w:r>
      <w:r>
        <w:rPr>
          <w:rFonts w:hint="eastAsia"/>
          <w:sz w:val="24"/>
          <w:szCs w:val="24"/>
        </w:rPr>
        <w:t>中标方</w:t>
      </w:r>
      <w:r>
        <w:rPr>
          <w:sz w:val="24"/>
          <w:szCs w:val="24"/>
        </w:rPr>
        <w:t>技术人员应在</w:t>
      </w:r>
      <w:r>
        <w:rPr>
          <w:rFonts w:hint="eastAsia"/>
          <w:sz w:val="24"/>
          <w:szCs w:val="24"/>
        </w:rPr>
        <w:t>招标方</w:t>
      </w:r>
      <w:r>
        <w:rPr>
          <w:sz w:val="24"/>
          <w:szCs w:val="24"/>
        </w:rPr>
        <w:t>安排的适当时间对设备的正确安装、使用和试验给予技术讲课，并在现场调试阶段，对</w:t>
      </w:r>
      <w:r>
        <w:rPr>
          <w:rFonts w:hint="eastAsia"/>
          <w:sz w:val="24"/>
          <w:szCs w:val="24"/>
        </w:rPr>
        <w:t>招标方</w:t>
      </w:r>
      <w:r>
        <w:rPr>
          <w:sz w:val="24"/>
          <w:szCs w:val="24"/>
        </w:rPr>
        <w:t>系统管理员进行免费培训。</w:t>
      </w:r>
    </w:p>
    <w:p>
      <w:pPr>
        <w:spacing w:line="500" w:lineRule="exact"/>
        <w:ind w:firstLine="480" w:firstLineChars="200"/>
        <w:rPr>
          <w:sz w:val="24"/>
          <w:szCs w:val="24"/>
        </w:rPr>
      </w:pPr>
      <w:r>
        <w:rPr>
          <w:rFonts w:hint="eastAsia"/>
          <w:sz w:val="24"/>
          <w:szCs w:val="24"/>
          <w:lang w:val="en-US" w:eastAsia="zh-CN"/>
        </w:rPr>
        <w:t>3）</w:t>
      </w:r>
      <w:r>
        <w:rPr>
          <w:sz w:val="24"/>
          <w:szCs w:val="24"/>
        </w:rPr>
        <w:t>对</w:t>
      </w:r>
      <w:r>
        <w:rPr>
          <w:rFonts w:hint="eastAsia"/>
          <w:sz w:val="24"/>
          <w:szCs w:val="24"/>
        </w:rPr>
        <w:t>招标方</w:t>
      </w:r>
      <w:r>
        <w:rPr>
          <w:sz w:val="24"/>
          <w:szCs w:val="24"/>
        </w:rPr>
        <w:t>选购的与本合同设备有关的配套设备，</w:t>
      </w:r>
      <w:r>
        <w:rPr>
          <w:rFonts w:hint="eastAsia"/>
          <w:sz w:val="24"/>
          <w:szCs w:val="24"/>
        </w:rPr>
        <w:t>中标方</w:t>
      </w:r>
      <w:r>
        <w:rPr>
          <w:sz w:val="24"/>
          <w:szCs w:val="24"/>
        </w:rPr>
        <w:t>有提供技术配合的义务，并不因此而增加任何费用。</w:t>
      </w:r>
    </w:p>
    <w:p>
      <w:pPr>
        <w:spacing w:line="500" w:lineRule="exact"/>
        <w:ind w:firstLine="480" w:firstLineChars="200"/>
        <w:rPr>
          <w:sz w:val="24"/>
          <w:szCs w:val="24"/>
        </w:rPr>
      </w:pPr>
      <w:r>
        <w:rPr>
          <w:rFonts w:hint="eastAsia"/>
          <w:sz w:val="24"/>
          <w:szCs w:val="24"/>
          <w:lang w:val="en-US" w:eastAsia="zh-CN"/>
        </w:rPr>
        <w:t>4）</w:t>
      </w:r>
      <w:r>
        <w:rPr>
          <w:sz w:val="24"/>
          <w:szCs w:val="24"/>
        </w:rPr>
        <w:t>由于</w:t>
      </w:r>
      <w:r>
        <w:rPr>
          <w:rFonts w:hint="eastAsia"/>
          <w:sz w:val="24"/>
          <w:szCs w:val="24"/>
        </w:rPr>
        <w:t>中标方</w:t>
      </w:r>
      <w:r>
        <w:rPr>
          <w:sz w:val="24"/>
          <w:szCs w:val="24"/>
        </w:rPr>
        <w:t>的错误指导或建议所致的损失，由</w:t>
      </w:r>
      <w:r>
        <w:rPr>
          <w:rFonts w:hint="eastAsia"/>
          <w:sz w:val="24"/>
          <w:szCs w:val="24"/>
        </w:rPr>
        <w:t>中标方</w:t>
      </w:r>
      <w:r>
        <w:rPr>
          <w:sz w:val="24"/>
          <w:szCs w:val="24"/>
        </w:rPr>
        <w:t>负责。</w:t>
      </w:r>
    </w:p>
    <w:p>
      <w:pPr>
        <w:adjustRightInd w:val="0"/>
        <w:spacing w:line="500" w:lineRule="exact"/>
        <w:ind w:firstLine="466" w:firstLineChars="200"/>
        <w:outlineLvl w:val="1"/>
        <w:rPr>
          <w:rFonts w:hint="eastAsia"/>
          <w:b/>
          <w:bCs/>
          <w:spacing w:val="-4"/>
          <w:sz w:val="24"/>
          <w:szCs w:val="24"/>
        </w:rPr>
      </w:pPr>
      <w:bookmarkStart w:id="304" w:name="_Toc293046425"/>
      <w:bookmarkStart w:id="305" w:name="_Toc9427_WPSOffice_Level2"/>
      <w:bookmarkStart w:id="306" w:name="_Toc340429309"/>
      <w:bookmarkStart w:id="307" w:name="_Toc3419_WPSOffice_Level2"/>
      <w:bookmarkStart w:id="308" w:name="_Toc365451054"/>
      <w:bookmarkStart w:id="309" w:name="_Toc346698258"/>
      <w:bookmarkStart w:id="310" w:name="_Toc340648248"/>
      <w:bookmarkStart w:id="311" w:name="_Toc340472153"/>
      <w:bookmarkStart w:id="312" w:name="_Toc341963403"/>
      <w:bookmarkStart w:id="313" w:name="_Toc15472"/>
      <w:bookmarkStart w:id="314" w:name="_Toc349290982"/>
      <w:bookmarkStart w:id="315" w:name="_Toc342489105"/>
      <w:bookmarkStart w:id="316" w:name="_Toc295720861"/>
      <w:bookmarkStart w:id="317" w:name="_Toc349291026"/>
      <w:bookmarkStart w:id="318" w:name="_Toc340673343"/>
      <w:bookmarkStart w:id="319" w:name="_Toc340429050"/>
      <w:bookmarkStart w:id="320" w:name="_Toc338420963"/>
      <w:bookmarkStart w:id="321" w:name="_Toc295742305"/>
      <w:bookmarkStart w:id="322" w:name="_Toc340652741"/>
      <w:bookmarkStart w:id="323" w:name="_Toc351388903"/>
      <w:bookmarkStart w:id="324" w:name="_Toc340428956"/>
      <w:bookmarkStart w:id="325" w:name="_Toc349290855"/>
      <w:bookmarkStart w:id="326" w:name="_Toc340648618"/>
      <w:bookmarkStart w:id="327" w:name="_Toc338081389"/>
      <w:bookmarkStart w:id="328" w:name="_Toc2736"/>
      <w:bookmarkStart w:id="329" w:name="_Toc341102987"/>
      <w:bookmarkStart w:id="330" w:name="_Toc340428003"/>
      <w:bookmarkStart w:id="331" w:name="_Toc293046490"/>
      <w:r>
        <w:rPr>
          <w:rFonts w:hint="eastAsia"/>
          <w:b/>
          <w:bCs/>
          <w:spacing w:val="-4"/>
          <w:sz w:val="24"/>
          <w:szCs w:val="24"/>
          <w:lang w:val="en-US" w:eastAsia="zh-CN"/>
        </w:rPr>
        <w:t>3、</w:t>
      </w:r>
      <w:r>
        <w:rPr>
          <w:rFonts w:hint="eastAsia"/>
          <w:b/>
          <w:bCs/>
          <w:spacing w:val="-4"/>
          <w:sz w:val="24"/>
          <w:szCs w:val="24"/>
        </w:rPr>
        <w:t>技术培训</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spacing w:line="500" w:lineRule="exact"/>
        <w:ind w:firstLine="480" w:firstLineChars="200"/>
        <w:rPr>
          <w:rFonts w:hint="eastAsia"/>
          <w:sz w:val="24"/>
          <w:szCs w:val="24"/>
        </w:rPr>
      </w:pPr>
      <w:r>
        <w:rPr>
          <w:rFonts w:hint="eastAsia"/>
          <w:sz w:val="24"/>
          <w:szCs w:val="24"/>
          <w:lang w:val="en-US" w:eastAsia="zh-CN"/>
        </w:rPr>
        <w:t>1）</w:t>
      </w:r>
      <w:r>
        <w:rPr>
          <w:rFonts w:hint="eastAsia"/>
          <w:sz w:val="24"/>
          <w:szCs w:val="24"/>
        </w:rPr>
        <w:t>中标方应对招标方提供技术培训和操作指导。</w:t>
      </w:r>
    </w:p>
    <w:p>
      <w:pPr>
        <w:spacing w:line="500" w:lineRule="exact"/>
        <w:ind w:firstLine="480" w:firstLineChars="200"/>
        <w:rPr>
          <w:rFonts w:hint="eastAsia"/>
          <w:sz w:val="24"/>
          <w:szCs w:val="24"/>
        </w:rPr>
      </w:pPr>
      <w:r>
        <w:rPr>
          <w:rFonts w:hint="eastAsia"/>
          <w:sz w:val="24"/>
          <w:szCs w:val="24"/>
          <w:lang w:val="en-US" w:eastAsia="zh-CN"/>
        </w:rPr>
        <w:t>2）</w:t>
      </w:r>
      <w:r>
        <w:rPr>
          <w:rFonts w:hint="eastAsia"/>
          <w:sz w:val="24"/>
          <w:szCs w:val="24"/>
        </w:rPr>
        <w:t>培训的时间、人数、地点等具体内容由供需双方商定。中标方对招标方培训班需提供设备、场地、资料等培训条件，并提供食宿和交通方便，费用已包含在合同总价中。</w:t>
      </w:r>
    </w:p>
    <w:p>
      <w:pPr>
        <w:spacing w:line="500" w:lineRule="exact"/>
        <w:ind w:firstLine="480" w:firstLineChars="200"/>
        <w:rPr>
          <w:rFonts w:hint="eastAsia"/>
          <w:sz w:val="24"/>
          <w:szCs w:val="24"/>
        </w:rPr>
      </w:pPr>
      <w:r>
        <w:rPr>
          <w:rFonts w:hint="eastAsia"/>
          <w:sz w:val="24"/>
          <w:szCs w:val="24"/>
          <w:lang w:val="en-US" w:eastAsia="zh-CN"/>
        </w:rPr>
        <w:t>3）</w:t>
      </w:r>
      <w:r>
        <w:rPr>
          <w:rFonts w:hint="eastAsia"/>
          <w:sz w:val="24"/>
          <w:szCs w:val="24"/>
        </w:rPr>
        <w:t>中标方保证培训的技术人员熟悉整个控制系统的配置、组态，对整个控制系统的程序会编制、会修改、会调试、能熟悉掌握程序的编制和修改及使用。也就是在中标方的技术人员离开后完全独立地进行全面工作。</w:t>
      </w:r>
    </w:p>
    <w:p>
      <w:pPr>
        <w:spacing w:line="500" w:lineRule="exact"/>
        <w:ind w:firstLine="480" w:firstLineChars="200"/>
        <w:rPr>
          <w:rFonts w:hint="eastAsia"/>
          <w:sz w:val="24"/>
          <w:szCs w:val="24"/>
        </w:rPr>
      </w:pPr>
      <w:r>
        <w:rPr>
          <w:rFonts w:hint="eastAsia"/>
          <w:sz w:val="24"/>
          <w:szCs w:val="24"/>
          <w:lang w:val="en-US" w:eastAsia="zh-CN"/>
        </w:rPr>
        <w:t>4）</w:t>
      </w:r>
      <w:r>
        <w:rPr>
          <w:rFonts w:hint="eastAsia"/>
          <w:sz w:val="24"/>
          <w:szCs w:val="24"/>
        </w:rPr>
        <w:t>中标方提供完整的培训资料。</w:t>
      </w:r>
    </w:p>
    <w:p>
      <w:pPr>
        <w:adjustRightInd w:val="0"/>
        <w:spacing w:line="500" w:lineRule="exact"/>
        <w:ind w:firstLine="466" w:firstLineChars="200"/>
        <w:outlineLvl w:val="1"/>
        <w:rPr>
          <w:rFonts w:hint="eastAsia"/>
          <w:b/>
          <w:bCs/>
          <w:spacing w:val="-4"/>
          <w:sz w:val="24"/>
          <w:szCs w:val="24"/>
        </w:rPr>
      </w:pPr>
      <w:bookmarkStart w:id="332" w:name="_Toc6704_WPSOffice_Level2"/>
      <w:bookmarkStart w:id="333" w:name="_Toc3484"/>
      <w:bookmarkStart w:id="334" w:name="_Toc341102988"/>
      <w:bookmarkStart w:id="335" w:name="_Toc338420964"/>
      <w:bookmarkStart w:id="336" w:name="_Toc340428957"/>
      <w:bookmarkStart w:id="337" w:name="_Toc349290983"/>
      <w:bookmarkStart w:id="338" w:name="_Toc341963404"/>
      <w:bookmarkStart w:id="339" w:name="_Toc340428004"/>
      <w:bookmarkStart w:id="340" w:name="_Toc340472154"/>
      <w:bookmarkStart w:id="341" w:name="_Toc365451055"/>
      <w:bookmarkStart w:id="342" w:name="_Toc340673344"/>
      <w:bookmarkStart w:id="343" w:name="_Toc293046491"/>
      <w:bookmarkStart w:id="344" w:name="_Toc349291027"/>
      <w:bookmarkStart w:id="345" w:name="_Toc293046426"/>
      <w:bookmarkStart w:id="346" w:name="_Toc340652742"/>
      <w:bookmarkStart w:id="347" w:name="_Toc349290856"/>
      <w:bookmarkStart w:id="348" w:name="_Toc338081390"/>
      <w:bookmarkStart w:id="349" w:name="_Toc295720862"/>
      <w:bookmarkStart w:id="350" w:name="_Toc346698259"/>
      <w:bookmarkStart w:id="351" w:name="_Toc340429310"/>
      <w:bookmarkStart w:id="352" w:name="_Toc342489106"/>
      <w:bookmarkStart w:id="353" w:name="_Toc340648619"/>
      <w:bookmarkStart w:id="354" w:name="_Toc351388904"/>
      <w:bookmarkStart w:id="355" w:name="_Toc24866_WPSOffice_Level2"/>
      <w:bookmarkStart w:id="356" w:name="_Toc340429051"/>
      <w:bookmarkStart w:id="357" w:name="_Toc340648249"/>
      <w:bookmarkStart w:id="358" w:name="_Toc27279"/>
      <w:bookmarkStart w:id="359" w:name="_Toc295742306"/>
      <w:r>
        <w:rPr>
          <w:rFonts w:hint="eastAsia"/>
          <w:b/>
          <w:bCs/>
          <w:spacing w:val="-4"/>
          <w:sz w:val="24"/>
          <w:szCs w:val="24"/>
          <w:lang w:val="en-US" w:eastAsia="zh-CN"/>
        </w:rPr>
        <w:t>4、</w:t>
      </w:r>
      <w:r>
        <w:rPr>
          <w:rFonts w:hint="eastAsia"/>
          <w:b/>
          <w:bCs/>
          <w:spacing w:val="-4"/>
          <w:sz w:val="24"/>
          <w:szCs w:val="24"/>
        </w:rPr>
        <w:t>技术资料</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line="500" w:lineRule="exact"/>
        <w:ind w:firstLine="480" w:firstLineChars="200"/>
        <w:rPr>
          <w:rFonts w:hint="eastAsia"/>
          <w:color w:val="000000"/>
          <w:sz w:val="24"/>
          <w:szCs w:val="24"/>
        </w:rPr>
      </w:pPr>
      <w:r>
        <w:rPr>
          <w:rFonts w:hint="eastAsia"/>
          <w:color w:val="000000"/>
          <w:sz w:val="24"/>
          <w:szCs w:val="24"/>
        </w:rPr>
        <w:t>为了保证项目的顺利实施，保证工程质量，在签订合同</w:t>
      </w:r>
      <w:r>
        <w:rPr>
          <w:rFonts w:hint="eastAsia"/>
          <w:color w:val="000000"/>
          <w:sz w:val="24"/>
          <w:szCs w:val="24"/>
          <w:lang w:val="en-US" w:eastAsia="zh-CN"/>
        </w:rPr>
        <w:t>2</w:t>
      </w:r>
      <w:r>
        <w:rPr>
          <w:rFonts w:hint="eastAsia"/>
          <w:color w:val="000000"/>
          <w:sz w:val="24"/>
          <w:szCs w:val="24"/>
        </w:rPr>
        <w:t>周内，在招标方召开一次联络会，以确定产品生产周期，会前1周内，应向以及招标方提供相关的产品资料及设计方案，以便充分讨论。</w:t>
      </w:r>
    </w:p>
    <w:p>
      <w:pPr>
        <w:spacing w:line="500" w:lineRule="exact"/>
        <w:ind w:firstLine="480" w:firstLineChars="200"/>
        <w:rPr>
          <w:rFonts w:hint="eastAsia"/>
          <w:color w:val="000000"/>
          <w:sz w:val="24"/>
          <w:szCs w:val="24"/>
        </w:rPr>
      </w:pPr>
      <w:r>
        <w:rPr>
          <w:rFonts w:hint="eastAsia"/>
          <w:color w:val="000000"/>
          <w:sz w:val="24"/>
          <w:szCs w:val="24"/>
          <w:lang w:val="en-US" w:eastAsia="zh-CN"/>
        </w:rPr>
        <w:t>1）</w:t>
      </w:r>
      <w:r>
        <w:rPr>
          <w:rFonts w:hint="eastAsia"/>
          <w:color w:val="000000"/>
          <w:sz w:val="24"/>
          <w:szCs w:val="24"/>
        </w:rPr>
        <w:t>提供的技术文件应用国际单位制。</w:t>
      </w:r>
    </w:p>
    <w:p>
      <w:pPr>
        <w:spacing w:line="500" w:lineRule="exact"/>
        <w:ind w:firstLine="480" w:firstLineChars="200"/>
        <w:rPr>
          <w:rFonts w:hint="eastAsia"/>
          <w:color w:val="000000"/>
          <w:sz w:val="24"/>
          <w:szCs w:val="24"/>
        </w:rPr>
      </w:pPr>
      <w:r>
        <w:rPr>
          <w:rFonts w:hint="eastAsia"/>
          <w:color w:val="000000"/>
          <w:sz w:val="24"/>
          <w:szCs w:val="24"/>
          <w:lang w:val="en-US" w:eastAsia="zh-CN"/>
        </w:rPr>
        <w:t>2）</w:t>
      </w:r>
      <w:r>
        <w:rPr>
          <w:rFonts w:hint="eastAsia"/>
          <w:color w:val="000000"/>
          <w:sz w:val="24"/>
          <w:szCs w:val="24"/>
        </w:rPr>
        <w:t>资料的组织结构清晰，逻辑性强。资料内容要正确、准确、一致、清晰、完整，满足</w:t>
      </w:r>
      <w:r>
        <w:rPr>
          <w:rFonts w:hint="eastAsia"/>
          <w:color w:val="000000"/>
          <w:sz w:val="24"/>
          <w:szCs w:val="24"/>
          <w:lang w:eastAsia="zh-CN"/>
        </w:rPr>
        <w:t>技术规范书</w:t>
      </w:r>
      <w:r>
        <w:rPr>
          <w:rFonts w:hint="eastAsia"/>
          <w:color w:val="000000"/>
          <w:sz w:val="24"/>
          <w:szCs w:val="24"/>
        </w:rPr>
        <w:t>的要求。</w:t>
      </w:r>
    </w:p>
    <w:p>
      <w:pPr>
        <w:overflowPunct/>
        <w:spacing w:line="520" w:lineRule="exact"/>
        <w:ind w:firstLine="480" w:firstLineChars="200"/>
        <w:rPr>
          <w:rFonts w:hint="default" w:ascii="Times New Roman" w:hAnsi="Times New Roman" w:eastAsia="宋体"/>
          <w:color w:val="000000"/>
          <w:sz w:val="24"/>
          <w:szCs w:val="22"/>
          <w:highlight w:val="none"/>
          <w:lang w:val="en-US" w:eastAsia="zh-CN"/>
        </w:rPr>
      </w:pPr>
      <w:r>
        <w:rPr>
          <w:rFonts w:hint="eastAsia"/>
          <w:color w:val="000000"/>
          <w:sz w:val="24"/>
          <w:szCs w:val="24"/>
          <w:lang w:val="en-US" w:eastAsia="zh-CN"/>
        </w:rPr>
        <w:t>3）</w:t>
      </w:r>
      <w:r>
        <w:rPr>
          <w:rFonts w:hint="eastAsia"/>
          <w:color w:val="000000"/>
          <w:sz w:val="24"/>
          <w:szCs w:val="24"/>
        </w:rPr>
        <w:t>资料的提交及时充分，满足项目进度要求。</w:t>
      </w:r>
      <w:r>
        <w:rPr>
          <w:rFonts w:hint="default" w:ascii="Times New Roman" w:hAnsi="Times New Roman" w:eastAsia="宋体"/>
          <w:color w:val="000000"/>
          <w:sz w:val="24"/>
          <w:szCs w:val="22"/>
          <w:highlight w:val="none"/>
          <w:lang w:val="en-US" w:eastAsia="zh-CN"/>
        </w:rPr>
        <w:t>在合同签订后2周内给出全部技术资料清单和交付进度，并经招标方确认。</w:t>
      </w:r>
    </w:p>
    <w:p>
      <w:pPr>
        <w:overflowPunct/>
        <w:spacing w:line="520" w:lineRule="exact"/>
        <w:ind w:firstLine="480" w:firstLineChars="200"/>
        <w:rPr>
          <w:rFonts w:hint="default" w:ascii="Times New Roman" w:hAnsi="Times New Roman" w:eastAsia="宋体"/>
          <w:color w:val="000000"/>
          <w:sz w:val="24"/>
          <w:szCs w:val="22"/>
          <w:highlight w:val="none"/>
          <w:lang w:val="en-US" w:eastAsia="zh-CN"/>
        </w:rPr>
      </w:pPr>
      <w:r>
        <w:rPr>
          <w:rFonts w:hint="eastAsia"/>
          <w:color w:val="000000"/>
          <w:sz w:val="24"/>
          <w:szCs w:val="24"/>
          <w:lang w:val="en-US" w:eastAsia="zh-CN"/>
        </w:rPr>
        <w:t>4）</w:t>
      </w:r>
      <w:r>
        <w:rPr>
          <w:rFonts w:hint="default" w:ascii="Times New Roman" w:hAnsi="Times New Roman" w:eastAsia="宋体"/>
          <w:color w:val="000000"/>
          <w:sz w:val="24"/>
          <w:szCs w:val="22"/>
          <w:highlight w:val="none"/>
          <w:lang w:val="en-US" w:eastAsia="zh-CN"/>
        </w:rPr>
        <w:t>提供的技术资料可分为配合工程设计阶段，工厂检验及设备建造检验，施工调试、性能验收试验和运行维护等。</w:t>
      </w:r>
    </w:p>
    <w:p>
      <w:pPr>
        <w:overflowPunct/>
        <w:spacing w:line="520" w:lineRule="exact"/>
        <w:ind w:firstLine="480" w:firstLineChars="200"/>
        <w:rPr>
          <w:rFonts w:hint="default" w:ascii="Times New Roman" w:hAnsi="Times New Roman" w:eastAsia="宋体"/>
          <w:color w:val="000000"/>
          <w:sz w:val="24"/>
          <w:szCs w:val="22"/>
          <w:highlight w:val="none"/>
          <w:lang w:val="en-US" w:eastAsia="zh-CN"/>
        </w:rPr>
      </w:pPr>
      <w:r>
        <w:rPr>
          <w:rFonts w:hint="eastAsia"/>
          <w:color w:val="000000"/>
          <w:sz w:val="24"/>
          <w:szCs w:val="24"/>
          <w:lang w:val="en-US" w:eastAsia="zh-CN"/>
        </w:rPr>
        <w:t>5）</w:t>
      </w:r>
      <w:r>
        <w:rPr>
          <w:rFonts w:hint="default" w:ascii="Times New Roman" w:hAnsi="Times New Roman" w:eastAsia="宋体"/>
          <w:color w:val="000000"/>
          <w:sz w:val="24"/>
          <w:szCs w:val="22"/>
          <w:highlight w:val="none"/>
          <w:lang w:val="en-US" w:eastAsia="zh-CN"/>
        </w:rPr>
        <w:t>其它没有列入合同技术资料清单，却是工程所必需的文件和资料，一经发现，</w:t>
      </w:r>
      <w:r>
        <w:rPr>
          <w:rFonts w:hint="eastAsia"/>
          <w:color w:val="000000"/>
          <w:sz w:val="24"/>
          <w:szCs w:val="24"/>
        </w:rPr>
        <w:t>中标方</w:t>
      </w:r>
      <w:r>
        <w:rPr>
          <w:rFonts w:hint="default" w:ascii="Times New Roman" w:hAnsi="Times New Roman" w:eastAsia="宋体"/>
          <w:color w:val="000000"/>
          <w:sz w:val="24"/>
          <w:szCs w:val="22"/>
          <w:highlight w:val="none"/>
          <w:lang w:val="en-US" w:eastAsia="zh-CN"/>
        </w:rPr>
        <w:t>将及时免费提供。</w:t>
      </w:r>
    </w:p>
    <w:p>
      <w:pPr>
        <w:spacing w:before="120" w:beforeLines="50" w:after="120" w:afterLines="50" w:line="500" w:lineRule="exact"/>
        <w:ind w:firstLine="562" w:firstLineChars="200"/>
        <w:outlineLvl w:val="0"/>
        <w:rPr>
          <w:rFonts w:hint="eastAsia" w:eastAsia="黑体"/>
          <w:b/>
          <w:sz w:val="28"/>
          <w:szCs w:val="28"/>
        </w:rPr>
      </w:pPr>
      <w:bookmarkStart w:id="360" w:name="_Toc351388905"/>
      <w:bookmarkStart w:id="361" w:name="_Toc340673345"/>
      <w:bookmarkStart w:id="362" w:name="_Toc346698260"/>
      <w:bookmarkStart w:id="363" w:name="_Toc349290857"/>
      <w:bookmarkStart w:id="364" w:name="_Toc365451056"/>
      <w:bookmarkStart w:id="365" w:name="_Toc340429055"/>
      <w:bookmarkStart w:id="366" w:name="_Toc340429314"/>
      <w:bookmarkStart w:id="367" w:name="_Toc340652743"/>
      <w:bookmarkStart w:id="368" w:name="_Toc341963405"/>
      <w:bookmarkStart w:id="369" w:name="_Toc340648620"/>
      <w:bookmarkStart w:id="370" w:name="_Toc29889"/>
      <w:bookmarkStart w:id="371" w:name="_Toc32524_WPSOffice_Level1"/>
      <w:bookmarkStart w:id="372" w:name="_Toc349290984"/>
      <w:bookmarkStart w:id="373" w:name="_Toc18750"/>
      <w:bookmarkStart w:id="374" w:name="_Toc26484_WPSOffice_Level1"/>
      <w:bookmarkStart w:id="375" w:name="_Toc349291028"/>
      <w:bookmarkStart w:id="376" w:name="_Toc341102989"/>
      <w:bookmarkStart w:id="377" w:name="_Toc340648250"/>
      <w:bookmarkStart w:id="378" w:name="_Toc340428961"/>
      <w:bookmarkStart w:id="379" w:name="_Toc342489107"/>
      <w:bookmarkStart w:id="380" w:name="_Toc340472158"/>
      <w:r>
        <w:rPr>
          <w:rFonts w:hint="eastAsia" w:eastAsia="黑体"/>
          <w:b/>
          <w:sz w:val="28"/>
          <w:szCs w:val="28"/>
          <w:lang w:val="en-US" w:eastAsia="zh-CN"/>
        </w:rPr>
        <w:t>七</w:t>
      </w:r>
      <w:r>
        <w:rPr>
          <w:rFonts w:hint="eastAsia" w:eastAsia="黑体"/>
          <w:b/>
          <w:sz w:val="28"/>
          <w:szCs w:val="28"/>
        </w:rPr>
        <w:t>、质量性能保证和检验、验收</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spacing w:line="500" w:lineRule="exact"/>
        <w:ind w:firstLine="480" w:firstLineChars="200"/>
        <w:rPr>
          <w:rFonts w:hint="eastAsia"/>
          <w:sz w:val="24"/>
          <w:szCs w:val="24"/>
        </w:rPr>
      </w:pPr>
      <w:r>
        <w:rPr>
          <w:rFonts w:hint="eastAsia"/>
          <w:sz w:val="24"/>
          <w:szCs w:val="24"/>
        </w:rPr>
        <w:t>该部分用于合同执行期间对中标方所提供的设备(包括对分包外购设备)进行检查和性能验收试验，确保中标方所提供的设备符合本规格规定的要求。</w:t>
      </w:r>
    </w:p>
    <w:p>
      <w:pPr>
        <w:adjustRightInd w:val="0"/>
        <w:spacing w:line="500" w:lineRule="exact"/>
        <w:ind w:firstLine="466" w:firstLineChars="200"/>
        <w:outlineLvl w:val="1"/>
        <w:rPr>
          <w:rFonts w:hint="default" w:ascii="Times New Roman" w:hAnsi="Times New Roman" w:eastAsia="宋体" w:cs="Times New Roman"/>
          <w:b/>
          <w:bCs/>
          <w:color w:val="000000"/>
          <w:spacing w:val="-4"/>
          <w:sz w:val="24"/>
          <w:szCs w:val="24"/>
          <w:lang w:eastAsia="zh-CN"/>
        </w:rPr>
      </w:pPr>
      <w:bookmarkStart w:id="381" w:name="_Toc792"/>
      <w:bookmarkStart w:id="382" w:name="_Toc28705"/>
      <w:bookmarkStart w:id="383" w:name="_Toc31867"/>
      <w:bookmarkStart w:id="384" w:name="_Toc340428963"/>
      <w:bookmarkStart w:id="385" w:name="_Toc342489109"/>
      <w:bookmarkStart w:id="386" w:name="_Toc349290859"/>
      <w:bookmarkStart w:id="387" w:name="_Toc365451058"/>
      <w:bookmarkStart w:id="388" w:name="_Toc340673347"/>
      <w:bookmarkStart w:id="389" w:name="_Toc341963407"/>
      <w:bookmarkStart w:id="390" w:name="_Toc340648622"/>
      <w:bookmarkStart w:id="391" w:name="_Toc340472160"/>
      <w:bookmarkStart w:id="392" w:name="_Toc340648252"/>
      <w:bookmarkStart w:id="393" w:name="_Toc346698262"/>
      <w:bookmarkStart w:id="394" w:name="_Toc341102991"/>
      <w:bookmarkStart w:id="395" w:name="_Toc340429057"/>
      <w:bookmarkStart w:id="396" w:name="_Toc126833001"/>
      <w:bookmarkStart w:id="397" w:name="_Toc351388907"/>
      <w:bookmarkStart w:id="398" w:name="_Toc340429316"/>
      <w:bookmarkStart w:id="399" w:name="_Toc349291030"/>
      <w:bookmarkStart w:id="400" w:name="_Toc340652745"/>
      <w:bookmarkStart w:id="401" w:name="_Toc349290986"/>
      <w:r>
        <w:rPr>
          <w:rFonts w:hint="eastAsia" w:cs="Times New Roman"/>
          <w:b/>
          <w:bCs/>
          <w:color w:val="000000"/>
          <w:spacing w:val="-4"/>
          <w:sz w:val="24"/>
          <w:szCs w:val="24"/>
          <w:lang w:val="en-US" w:eastAsia="zh-CN"/>
        </w:rPr>
        <w:t>1、</w:t>
      </w:r>
      <w:r>
        <w:rPr>
          <w:rFonts w:hint="default" w:ascii="Times New Roman" w:hAnsi="Times New Roman" w:eastAsia="宋体" w:cs="Times New Roman"/>
          <w:b/>
          <w:bCs/>
          <w:color w:val="000000"/>
          <w:spacing w:val="-4"/>
          <w:sz w:val="24"/>
          <w:szCs w:val="24"/>
          <w:lang w:eastAsia="zh-CN"/>
        </w:rPr>
        <w:t>工厂检验</w:t>
      </w:r>
      <w:bookmarkEnd w:id="381"/>
      <w:bookmarkEnd w:id="382"/>
      <w:bookmarkEnd w:id="383"/>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1）</w:t>
      </w:r>
      <w:r>
        <w:rPr>
          <w:rFonts w:hint="default" w:ascii="Times New Roman" w:hAnsi="Times New Roman" w:eastAsia="宋体" w:cs="Times New Roman"/>
          <w:color w:val="000000"/>
          <w:sz w:val="24"/>
          <w:szCs w:val="24"/>
          <w:lang w:val="en-US" w:eastAsia="zh-CN"/>
        </w:rPr>
        <w:t>工厂检验是质量控制的一个重要组成部分。供货方需严格进行厂内各生产环节的检查和试验。供货方提供的合同设备的合格证、生产许可证、出厂报告、井下设备的防爆证以及与系统验收的其它相关证件作为交货时质量证明文件的组成部分。</w:t>
      </w:r>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2）</w:t>
      </w:r>
      <w:r>
        <w:rPr>
          <w:rFonts w:hint="default" w:ascii="Times New Roman" w:hAnsi="Times New Roman" w:eastAsia="宋体" w:cs="Times New Roman"/>
          <w:color w:val="000000"/>
          <w:sz w:val="24"/>
          <w:szCs w:val="24"/>
          <w:lang w:val="en-US" w:eastAsia="zh-CN"/>
        </w:rPr>
        <w:t>工厂检验的所有费用包括在合同总价中。</w:t>
      </w:r>
    </w:p>
    <w:p>
      <w:pPr>
        <w:adjustRightInd w:val="0"/>
        <w:spacing w:line="500" w:lineRule="exact"/>
        <w:ind w:firstLine="466" w:firstLineChars="200"/>
        <w:outlineLvl w:val="1"/>
        <w:rPr>
          <w:rFonts w:hint="default" w:ascii="Times New Roman" w:hAnsi="Times New Roman" w:eastAsia="宋体" w:cs="Times New Roman"/>
          <w:b/>
          <w:bCs/>
          <w:color w:val="000000"/>
          <w:spacing w:val="-4"/>
          <w:sz w:val="24"/>
          <w:szCs w:val="24"/>
          <w:lang w:val="en-US" w:eastAsia="zh-CN"/>
        </w:rPr>
      </w:pPr>
      <w:bookmarkStart w:id="402" w:name="_Toc8574"/>
      <w:bookmarkStart w:id="403" w:name="_Toc3466"/>
      <w:r>
        <w:rPr>
          <w:rFonts w:hint="eastAsia" w:cs="Times New Roman"/>
          <w:b/>
          <w:bCs/>
          <w:color w:val="000000"/>
          <w:spacing w:val="-4"/>
          <w:sz w:val="24"/>
          <w:szCs w:val="24"/>
          <w:lang w:val="en-US" w:eastAsia="zh-CN"/>
        </w:rPr>
        <w:t>2、</w:t>
      </w:r>
      <w:r>
        <w:rPr>
          <w:rFonts w:hint="default" w:ascii="Times New Roman" w:hAnsi="Times New Roman" w:eastAsia="宋体" w:cs="Times New Roman"/>
          <w:b/>
          <w:bCs/>
          <w:color w:val="000000"/>
          <w:spacing w:val="-4"/>
          <w:sz w:val="24"/>
          <w:szCs w:val="24"/>
          <w:lang w:val="en-US" w:eastAsia="zh-CN"/>
        </w:rPr>
        <w:t>设备验收</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1）</w:t>
      </w:r>
      <w:r>
        <w:rPr>
          <w:rFonts w:hint="default" w:ascii="Times New Roman" w:hAnsi="Times New Roman" w:eastAsia="宋体" w:cs="Times New Roman"/>
          <w:color w:val="000000"/>
          <w:sz w:val="24"/>
          <w:szCs w:val="24"/>
          <w:lang w:val="en-US" w:eastAsia="zh-CN"/>
        </w:rPr>
        <w:t>设备到达安装现场后，</w:t>
      </w:r>
      <w:r>
        <w:rPr>
          <w:rFonts w:hint="eastAsia" w:ascii="Times New Roman" w:hAnsi="Times New Roman" w:eastAsia="宋体" w:cs="Times New Roman"/>
          <w:color w:val="000000"/>
          <w:sz w:val="24"/>
          <w:szCs w:val="24"/>
          <w:lang w:val="en-US" w:eastAsia="zh-CN"/>
        </w:rPr>
        <w:t>招标方、中标</w:t>
      </w:r>
      <w:r>
        <w:rPr>
          <w:rFonts w:hint="default" w:ascii="Times New Roman" w:hAnsi="Times New Roman" w:eastAsia="宋体" w:cs="Times New Roman"/>
          <w:color w:val="000000"/>
          <w:sz w:val="24"/>
          <w:szCs w:val="24"/>
          <w:lang w:val="en-US" w:eastAsia="zh-CN"/>
        </w:rPr>
        <w:t>方双方应按商定的开箱检验办法，对照装箱清单逐件清点，进行检查和验收。</w:t>
      </w:r>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2）</w:t>
      </w:r>
      <w:r>
        <w:rPr>
          <w:rFonts w:hint="default" w:ascii="Times New Roman" w:hAnsi="Times New Roman" w:eastAsia="宋体" w:cs="Times New Roman"/>
          <w:color w:val="000000"/>
          <w:sz w:val="24"/>
          <w:szCs w:val="24"/>
          <w:lang w:val="en-US" w:eastAsia="zh-CN"/>
        </w:rPr>
        <w:t>由</w:t>
      </w:r>
      <w:r>
        <w:rPr>
          <w:rFonts w:hint="eastAsia" w:ascii="Times New Roman" w:hAnsi="Times New Roman" w:eastAsia="宋体" w:cs="Times New Roman"/>
          <w:color w:val="000000"/>
          <w:sz w:val="24"/>
          <w:szCs w:val="24"/>
          <w:lang w:val="en-US" w:eastAsia="zh-CN"/>
        </w:rPr>
        <w:t>中标</w:t>
      </w:r>
      <w:r>
        <w:rPr>
          <w:rFonts w:hint="default" w:ascii="Times New Roman" w:hAnsi="Times New Roman" w:eastAsia="宋体" w:cs="Times New Roman"/>
          <w:color w:val="000000"/>
          <w:sz w:val="24"/>
          <w:szCs w:val="24"/>
          <w:lang w:val="en-US" w:eastAsia="zh-CN"/>
        </w:rPr>
        <w:t>方外包生产的设备（部件）到达安装现场后，仍由供货方会同</w:t>
      </w:r>
      <w:r>
        <w:rPr>
          <w:rFonts w:hint="eastAsia" w:ascii="Times New Roman" w:hAnsi="Times New Roman" w:eastAsia="宋体" w:cs="Times New Roman"/>
          <w:color w:val="000000"/>
          <w:sz w:val="24"/>
          <w:szCs w:val="24"/>
          <w:lang w:val="en-US" w:eastAsia="zh-CN"/>
        </w:rPr>
        <w:t>招</w:t>
      </w:r>
      <w:r>
        <w:rPr>
          <w:rFonts w:hint="default" w:ascii="Times New Roman" w:hAnsi="Times New Roman" w:eastAsia="宋体" w:cs="Times New Roman"/>
          <w:color w:val="000000"/>
          <w:sz w:val="24"/>
          <w:szCs w:val="24"/>
          <w:lang w:val="en-US" w:eastAsia="zh-CN"/>
        </w:rPr>
        <w:t>标方进行检查和验收。</w:t>
      </w:r>
    </w:p>
    <w:p>
      <w:pPr>
        <w:adjustRightInd w:val="0"/>
        <w:spacing w:line="500" w:lineRule="exact"/>
        <w:ind w:firstLine="466" w:firstLineChars="200"/>
        <w:outlineLvl w:val="1"/>
        <w:rPr>
          <w:rFonts w:hint="default" w:ascii="Times New Roman" w:hAnsi="Times New Roman" w:eastAsia="宋体" w:cs="Times New Roman"/>
          <w:b/>
          <w:bCs/>
          <w:color w:val="000000"/>
          <w:spacing w:val="-4"/>
          <w:sz w:val="24"/>
          <w:szCs w:val="24"/>
          <w:lang w:val="en-US" w:eastAsia="zh-CN"/>
        </w:rPr>
      </w:pPr>
      <w:bookmarkStart w:id="404" w:name="_Toc27616"/>
      <w:bookmarkStart w:id="405" w:name="_Toc349290860"/>
      <w:bookmarkStart w:id="406" w:name="_Toc340428964"/>
      <w:bookmarkStart w:id="407" w:name="_Toc340652746"/>
      <w:bookmarkStart w:id="408" w:name="_Toc5143"/>
      <w:bookmarkStart w:id="409" w:name="_Toc349291031"/>
      <w:bookmarkStart w:id="410" w:name="_Toc340472161"/>
      <w:bookmarkStart w:id="411" w:name="_Toc351388908"/>
      <w:bookmarkStart w:id="412" w:name="_Toc340429058"/>
      <w:bookmarkStart w:id="413" w:name="_Toc341963408"/>
      <w:bookmarkStart w:id="414" w:name="_Toc341102992"/>
      <w:bookmarkStart w:id="415" w:name="_Toc126833002"/>
      <w:bookmarkStart w:id="416" w:name="_Toc18054848"/>
      <w:bookmarkStart w:id="417" w:name="_Toc365451059"/>
      <w:bookmarkStart w:id="418" w:name="_Toc340648623"/>
      <w:bookmarkStart w:id="419" w:name="_Toc346698263"/>
      <w:bookmarkStart w:id="420" w:name="_Toc342489110"/>
      <w:bookmarkStart w:id="421" w:name="_Toc340429317"/>
      <w:bookmarkStart w:id="422" w:name="_Toc340648253"/>
      <w:bookmarkStart w:id="423" w:name="_Toc340673348"/>
      <w:bookmarkStart w:id="424" w:name="_Toc349290987"/>
      <w:r>
        <w:rPr>
          <w:rFonts w:hint="eastAsia" w:cs="Times New Roman"/>
          <w:b/>
          <w:bCs/>
          <w:color w:val="000000"/>
          <w:spacing w:val="-4"/>
          <w:sz w:val="24"/>
          <w:szCs w:val="24"/>
          <w:lang w:val="en-US" w:eastAsia="zh-CN"/>
        </w:rPr>
        <w:t>3、</w:t>
      </w:r>
      <w:r>
        <w:rPr>
          <w:rFonts w:hint="default" w:ascii="Times New Roman" w:hAnsi="Times New Roman" w:eastAsia="宋体" w:cs="Times New Roman"/>
          <w:b/>
          <w:bCs/>
          <w:color w:val="000000"/>
          <w:spacing w:val="-4"/>
          <w:sz w:val="24"/>
          <w:szCs w:val="24"/>
          <w:lang w:val="en-US" w:eastAsia="zh-CN"/>
        </w:rPr>
        <w:t>性能验收试验</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1）</w:t>
      </w:r>
      <w:r>
        <w:rPr>
          <w:rFonts w:hint="default" w:ascii="Times New Roman" w:hAnsi="Times New Roman" w:eastAsia="宋体" w:cs="Times New Roman"/>
          <w:color w:val="000000"/>
          <w:sz w:val="24"/>
          <w:szCs w:val="24"/>
          <w:lang w:val="en-US" w:eastAsia="zh-CN"/>
        </w:rPr>
        <w:t>性能验收试验的目的为了检验合同设备的所有性能是否符合本规格的要求。</w:t>
      </w:r>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2）</w:t>
      </w:r>
      <w:r>
        <w:rPr>
          <w:rFonts w:hint="default" w:ascii="Times New Roman" w:hAnsi="Times New Roman" w:eastAsia="宋体" w:cs="Times New Roman"/>
          <w:color w:val="000000"/>
          <w:sz w:val="24"/>
          <w:szCs w:val="24"/>
          <w:lang w:val="en-US" w:eastAsia="zh-CN"/>
        </w:rPr>
        <w:t>性能验收试验的地点由合同确定，一般为招标方现场。</w:t>
      </w:r>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3）</w:t>
      </w:r>
      <w:r>
        <w:rPr>
          <w:rFonts w:hint="default" w:ascii="Times New Roman" w:hAnsi="Times New Roman" w:eastAsia="宋体" w:cs="Times New Roman"/>
          <w:color w:val="000000"/>
          <w:sz w:val="24"/>
          <w:szCs w:val="24"/>
          <w:lang w:val="en-US" w:eastAsia="zh-CN"/>
        </w:rPr>
        <w:t>性能验收试验的时间：具体试验时间由招标方同</w:t>
      </w:r>
      <w:r>
        <w:rPr>
          <w:rFonts w:hint="eastAsia" w:ascii="Times New Roman" w:hAnsi="Times New Roman" w:eastAsia="宋体" w:cs="Times New Roman"/>
          <w:color w:val="000000"/>
          <w:sz w:val="24"/>
          <w:szCs w:val="24"/>
          <w:lang w:val="en-US" w:eastAsia="zh-CN"/>
        </w:rPr>
        <w:t>中标</w:t>
      </w:r>
      <w:r>
        <w:rPr>
          <w:rFonts w:hint="default" w:ascii="Times New Roman" w:hAnsi="Times New Roman" w:eastAsia="宋体" w:cs="Times New Roman"/>
          <w:color w:val="000000"/>
          <w:sz w:val="24"/>
          <w:szCs w:val="24"/>
          <w:lang w:val="en-US" w:eastAsia="zh-CN"/>
        </w:rPr>
        <w:t>方确定。</w:t>
      </w:r>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4）</w:t>
      </w:r>
      <w:r>
        <w:rPr>
          <w:rFonts w:hint="default" w:ascii="Times New Roman" w:hAnsi="Times New Roman" w:eastAsia="宋体" w:cs="Times New Roman"/>
          <w:color w:val="000000"/>
          <w:sz w:val="24"/>
          <w:szCs w:val="24"/>
          <w:lang w:val="en-US" w:eastAsia="zh-CN"/>
        </w:rPr>
        <w:t>性能验收试验由招标方主持，</w:t>
      </w:r>
      <w:r>
        <w:rPr>
          <w:rFonts w:hint="eastAsia" w:ascii="Times New Roman" w:hAnsi="Times New Roman" w:eastAsia="宋体" w:cs="Times New Roman"/>
          <w:color w:val="000000"/>
          <w:sz w:val="24"/>
          <w:szCs w:val="24"/>
          <w:lang w:val="en-US" w:eastAsia="zh-CN"/>
        </w:rPr>
        <w:t>中标</w:t>
      </w:r>
      <w:r>
        <w:rPr>
          <w:rFonts w:hint="default" w:ascii="Times New Roman" w:hAnsi="Times New Roman" w:eastAsia="宋体" w:cs="Times New Roman"/>
          <w:color w:val="000000"/>
          <w:sz w:val="24"/>
          <w:szCs w:val="24"/>
          <w:lang w:val="en-US" w:eastAsia="zh-CN"/>
        </w:rPr>
        <w:t>方参加。试验大纲由</w:t>
      </w:r>
      <w:r>
        <w:rPr>
          <w:rFonts w:hint="eastAsia" w:ascii="Times New Roman" w:hAnsi="Times New Roman" w:eastAsia="宋体" w:cs="Times New Roman"/>
          <w:color w:val="000000"/>
          <w:sz w:val="24"/>
          <w:szCs w:val="24"/>
          <w:lang w:val="en-US" w:eastAsia="zh-CN"/>
        </w:rPr>
        <w:t>中标</w:t>
      </w:r>
      <w:r>
        <w:rPr>
          <w:rFonts w:hint="default" w:ascii="Times New Roman" w:hAnsi="Times New Roman" w:eastAsia="宋体" w:cs="Times New Roman"/>
          <w:color w:val="000000"/>
          <w:sz w:val="24"/>
          <w:szCs w:val="24"/>
          <w:lang w:val="en-US" w:eastAsia="zh-CN"/>
        </w:rPr>
        <w:t>方提供，与招标方讨论后确定。</w:t>
      </w:r>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color w:val="000000"/>
          <w:sz w:val="24"/>
          <w:szCs w:val="24"/>
          <w:lang w:val="en-US" w:eastAsia="zh-CN"/>
        </w:rPr>
        <w:t>5）</w:t>
      </w:r>
      <w:r>
        <w:rPr>
          <w:rFonts w:hint="default" w:ascii="Times New Roman" w:hAnsi="Times New Roman" w:eastAsia="宋体" w:cs="Times New Roman"/>
          <w:color w:val="000000"/>
          <w:sz w:val="24"/>
          <w:szCs w:val="24"/>
          <w:lang w:val="en-US" w:eastAsia="zh-CN"/>
        </w:rPr>
        <w:t>性能验收试验结果的确认：性能验收试验报告以招标方为主编写，</w:t>
      </w:r>
      <w:r>
        <w:rPr>
          <w:rFonts w:hint="eastAsia" w:ascii="Times New Roman" w:hAnsi="Times New Roman" w:eastAsia="宋体" w:cs="Times New Roman"/>
          <w:color w:val="000000"/>
          <w:sz w:val="24"/>
          <w:szCs w:val="24"/>
          <w:lang w:val="en-US" w:eastAsia="zh-CN"/>
        </w:rPr>
        <w:t>中标</w:t>
      </w:r>
      <w:r>
        <w:rPr>
          <w:rFonts w:hint="default" w:ascii="Times New Roman" w:hAnsi="Times New Roman" w:eastAsia="宋体" w:cs="Times New Roman"/>
          <w:color w:val="000000"/>
          <w:sz w:val="24"/>
          <w:szCs w:val="24"/>
          <w:lang w:val="en-US" w:eastAsia="zh-CN"/>
        </w:rPr>
        <w:t>方参加，共同签章确认结论。</w:t>
      </w:r>
    </w:p>
    <w:p>
      <w:pPr>
        <w:spacing w:line="500" w:lineRule="exact"/>
        <w:ind w:firstLine="480" w:firstLineChars="200"/>
        <w:rPr>
          <w:rFonts w:hint="eastAsia" w:ascii="Times New Roman" w:hAnsi="Times New Roman" w:eastAsia="宋体" w:cs="Times New Roman"/>
          <w:color w:val="000000"/>
          <w:sz w:val="24"/>
          <w:szCs w:val="24"/>
        </w:rPr>
      </w:pPr>
      <w:r>
        <w:rPr>
          <w:rFonts w:hint="eastAsia"/>
          <w:color w:val="000000"/>
          <w:sz w:val="24"/>
          <w:szCs w:val="24"/>
          <w:lang w:val="en-US" w:eastAsia="zh-CN"/>
        </w:rPr>
        <w:t>6）</w:t>
      </w:r>
      <w:r>
        <w:rPr>
          <w:rFonts w:hint="default" w:ascii="Times New Roman" w:hAnsi="Times New Roman" w:eastAsia="宋体" w:cs="Times New Roman"/>
          <w:color w:val="000000"/>
          <w:sz w:val="24"/>
          <w:szCs w:val="24"/>
          <w:lang w:val="en-US" w:eastAsia="zh-CN"/>
        </w:rPr>
        <w:t>进行性能验收试验时，一方接到另一方试验通知而不派人参加试验，则被视为对验收试验结果的同意。</w:t>
      </w:r>
    </w:p>
    <w:p>
      <w:pPr>
        <w:adjustRightInd w:val="0"/>
        <w:spacing w:line="500" w:lineRule="exact"/>
        <w:ind w:firstLine="466" w:firstLineChars="200"/>
        <w:outlineLvl w:val="1"/>
        <w:rPr>
          <w:rFonts w:hint="eastAsia" w:ascii="Times New Roman" w:hAnsi="Times New Roman" w:eastAsia="宋体" w:cs="Times New Roman"/>
          <w:b/>
          <w:bCs/>
          <w:color w:val="000000"/>
          <w:spacing w:val="-4"/>
          <w:sz w:val="24"/>
          <w:szCs w:val="24"/>
          <w:lang w:val="en-US" w:eastAsia="zh-CN"/>
        </w:rPr>
      </w:pPr>
      <w:bookmarkStart w:id="425" w:name="_Toc16297"/>
      <w:r>
        <w:rPr>
          <w:rFonts w:hint="eastAsia" w:cs="Times New Roman"/>
          <w:b/>
          <w:bCs/>
          <w:color w:val="000000"/>
          <w:spacing w:val="-4"/>
          <w:sz w:val="24"/>
          <w:szCs w:val="24"/>
          <w:lang w:val="en-US" w:eastAsia="zh-CN"/>
        </w:rPr>
        <w:t>4、</w:t>
      </w:r>
      <w:r>
        <w:rPr>
          <w:rFonts w:hint="eastAsia" w:ascii="Times New Roman" w:hAnsi="Times New Roman" w:eastAsia="宋体" w:cs="Times New Roman"/>
          <w:b/>
          <w:bCs/>
          <w:color w:val="000000"/>
          <w:spacing w:val="-4"/>
          <w:sz w:val="24"/>
          <w:szCs w:val="24"/>
          <w:lang w:val="en-US" w:eastAsia="zh-CN"/>
        </w:rPr>
        <w:t>质保期</w:t>
      </w:r>
      <w:bookmarkEnd w:id="425"/>
    </w:p>
    <w:p>
      <w:pPr>
        <w:spacing w:line="500" w:lineRule="exact"/>
        <w:ind w:firstLine="480" w:firstLineChars="200"/>
        <w:rPr>
          <w:rFonts w:hint="eastAsia" w:ascii="Times New Roman" w:hAnsi="Times New Roman" w:eastAsia="宋体" w:cs="Times New Roman"/>
          <w:color w:val="000000"/>
          <w:sz w:val="24"/>
          <w:szCs w:val="24"/>
          <w:lang w:val="en-US" w:eastAsia="zh-CN"/>
        </w:rPr>
      </w:pPr>
      <w:r>
        <w:rPr>
          <w:rFonts w:hint="eastAsia"/>
          <w:color w:val="000000"/>
          <w:sz w:val="24"/>
          <w:szCs w:val="24"/>
          <w:lang w:val="en-US" w:eastAsia="zh-CN"/>
        </w:rPr>
        <w:t>1）</w:t>
      </w:r>
      <w:r>
        <w:rPr>
          <w:rFonts w:hint="eastAsia"/>
          <w:color w:val="000000"/>
          <w:sz w:val="24"/>
          <w:szCs w:val="24"/>
        </w:rPr>
        <w:t>中标方提供的整套设备及关键部件质保期均为运行验收合格后12个月</w:t>
      </w:r>
      <w:r>
        <w:rPr>
          <w:rFonts w:hint="eastAsia"/>
          <w:color w:val="000000"/>
          <w:sz w:val="24"/>
          <w:szCs w:val="24"/>
          <w:lang w:eastAsia="zh-CN"/>
        </w:rPr>
        <w:t>。</w:t>
      </w:r>
      <w:r>
        <w:rPr>
          <w:rFonts w:hint="eastAsia"/>
          <w:color w:val="000000"/>
          <w:sz w:val="24"/>
          <w:szCs w:val="24"/>
        </w:rPr>
        <w:t>在质保期内，设备发生问题，中标方应全部免费修复，甚至进行产品的更换。在质保期后，中</w:t>
      </w:r>
      <w:r>
        <w:rPr>
          <w:rFonts w:hint="eastAsia" w:ascii="Times New Roman" w:hAnsi="Times New Roman" w:eastAsia="宋体" w:cs="Times New Roman"/>
          <w:color w:val="000000"/>
          <w:sz w:val="24"/>
          <w:szCs w:val="24"/>
          <w:lang w:val="en-US" w:eastAsia="zh-CN"/>
        </w:rPr>
        <w:t>标方仍有责任和义务为招标方提供系统设备的维护、维修服务，并以优惠价提供给招标方相应的产品及零配件。</w:t>
      </w:r>
    </w:p>
    <w:p>
      <w:pPr>
        <w:spacing w:line="500" w:lineRule="exact"/>
        <w:ind w:firstLine="480" w:firstLineChars="200"/>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2）在中标方提供主要设备使用期间发生故障时，中标方需具备在限时时间内响应招标方需求并处理故障的能力；特殊情况下，中标方需向招标方提供人员值守保障服务。</w:t>
      </w:r>
    </w:p>
    <w:p>
      <w:pPr>
        <w:spacing w:before="120" w:beforeLines="50" w:after="120" w:afterLines="50" w:line="500" w:lineRule="exact"/>
        <w:ind w:firstLine="562" w:firstLineChars="200"/>
        <w:outlineLvl w:val="0"/>
        <w:rPr>
          <w:rFonts w:hint="eastAsia" w:eastAsia="黑体"/>
          <w:b/>
          <w:sz w:val="28"/>
          <w:szCs w:val="28"/>
        </w:rPr>
      </w:pPr>
      <w:bookmarkStart w:id="426" w:name="_Toc340472162"/>
      <w:bookmarkStart w:id="427" w:name="_Toc110"/>
      <w:bookmarkStart w:id="428" w:name="_Toc9188_WPSOffice_Level1"/>
      <w:bookmarkStart w:id="429" w:name="_Toc340429318"/>
      <w:bookmarkStart w:id="430" w:name="_Toc365451060"/>
      <w:bookmarkStart w:id="431" w:name="_Toc341963409"/>
      <w:bookmarkStart w:id="432" w:name="_Toc346698264"/>
      <w:bookmarkStart w:id="433" w:name="_Toc19962_WPSOffice_Level1"/>
      <w:bookmarkStart w:id="434" w:name="_Toc341102993"/>
      <w:bookmarkStart w:id="435" w:name="_Toc340673349"/>
      <w:bookmarkStart w:id="436" w:name="_Toc340428965"/>
      <w:bookmarkStart w:id="437" w:name="_Toc340652747"/>
      <w:bookmarkStart w:id="438" w:name="_Toc349290861"/>
      <w:bookmarkStart w:id="439" w:name="_Toc26442"/>
      <w:bookmarkStart w:id="440" w:name="_Toc340648254"/>
      <w:bookmarkStart w:id="441" w:name="_Toc340648624"/>
      <w:bookmarkStart w:id="442" w:name="_Toc349290988"/>
      <w:bookmarkStart w:id="443" w:name="_Toc340429059"/>
      <w:bookmarkStart w:id="444" w:name="_Toc126832989"/>
      <w:bookmarkStart w:id="445" w:name="_Toc349291032"/>
      <w:bookmarkStart w:id="446" w:name="_Toc342489111"/>
      <w:bookmarkStart w:id="447" w:name="_Toc351388909"/>
      <w:r>
        <w:rPr>
          <w:rFonts w:hint="eastAsia" w:eastAsia="黑体"/>
          <w:b/>
          <w:sz w:val="28"/>
          <w:szCs w:val="28"/>
          <w:lang w:val="en-US" w:eastAsia="zh-CN"/>
        </w:rPr>
        <w:t>八</w:t>
      </w:r>
      <w:r>
        <w:rPr>
          <w:rFonts w:hint="eastAsia" w:eastAsia="黑体"/>
          <w:b/>
          <w:sz w:val="28"/>
          <w:szCs w:val="28"/>
        </w:rPr>
        <w:t>、设备包装、运输及储存</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adjustRightInd w:val="0"/>
        <w:spacing w:line="500" w:lineRule="exact"/>
        <w:ind w:firstLine="466" w:firstLineChars="200"/>
        <w:outlineLvl w:val="1"/>
        <w:rPr>
          <w:rFonts w:hint="eastAsia" w:ascii="Times New Roman" w:hAnsi="Times New Roman" w:eastAsia="宋体" w:cs="Times New Roman"/>
          <w:b/>
          <w:bCs/>
          <w:color w:val="000000"/>
          <w:spacing w:val="-4"/>
          <w:sz w:val="24"/>
          <w:szCs w:val="24"/>
          <w:lang w:val="en-US" w:eastAsia="zh-CN"/>
        </w:rPr>
      </w:pPr>
      <w:bookmarkStart w:id="448" w:name="_Toc19187"/>
      <w:r>
        <w:rPr>
          <w:rFonts w:hint="eastAsia" w:ascii="Times New Roman" w:hAnsi="Times New Roman" w:eastAsia="宋体" w:cs="Times New Roman"/>
          <w:b/>
          <w:bCs/>
          <w:color w:val="000000"/>
          <w:spacing w:val="-4"/>
          <w:sz w:val="24"/>
          <w:szCs w:val="24"/>
          <w:lang w:val="en-US" w:eastAsia="zh-CN"/>
        </w:rPr>
        <w:t>1、设备包装</w:t>
      </w:r>
      <w:bookmarkEnd w:id="448"/>
    </w:p>
    <w:p>
      <w:pPr>
        <w:spacing w:line="500" w:lineRule="exact"/>
        <w:ind w:firstLine="480" w:firstLineChars="200"/>
        <w:rPr>
          <w:rFonts w:hint="eastAsia"/>
          <w:color w:val="000000"/>
          <w:sz w:val="24"/>
          <w:szCs w:val="24"/>
        </w:rPr>
      </w:pPr>
      <w:r>
        <w:rPr>
          <w:rFonts w:hint="eastAsia"/>
          <w:color w:val="000000"/>
          <w:sz w:val="24"/>
          <w:szCs w:val="24"/>
        </w:rPr>
        <w:t>设备包装按国家或企业的有关标准执行，以保证设备在运输、储存过程中的完整无损。</w:t>
      </w:r>
    </w:p>
    <w:p>
      <w:pPr>
        <w:adjustRightInd w:val="0"/>
        <w:spacing w:line="500" w:lineRule="exact"/>
        <w:ind w:firstLine="466" w:firstLineChars="200"/>
        <w:outlineLvl w:val="1"/>
        <w:rPr>
          <w:rFonts w:hint="eastAsia" w:ascii="Times New Roman" w:hAnsi="Times New Roman" w:eastAsia="宋体" w:cs="Times New Roman"/>
          <w:b/>
          <w:bCs/>
          <w:color w:val="000000"/>
          <w:spacing w:val="-4"/>
          <w:sz w:val="24"/>
          <w:szCs w:val="24"/>
          <w:lang w:val="en-US" w:eastAsia="zh-CN"/>
        </w:rPr>
      </w:pPr>
      <w:bookmarkStart w:id="449" w:name="_Toc16727"/>
      <w:r>
        <w:rPr>
          <w:rFonts w:hint="eastAsia" w:ascii="Times New Roman" w:hAnsi="Times New Roman" w:eastAsia="宋体" w:cs="Times New Roman"/>
          <w:b/>
          <w:bCs/>
          <w:color w:val="000000"/>
          <w:spacing w:val="-4"/>
          <w:sz w:val="24"/>
          <w:szCs w:val="24"/>
          <w:lang w:val="en-US" w:eastAsia="zh-CN"/>
        </w:rPr>
        <w:t>2、设备运输</w:t>
      </w:r>
      <w:bookmarkEnd w:id="449"/>
    </w:p>
    <w:p>
      <w:pPr>
        <w:spacing w:line="500" w:lineRule="exact"/>
        <w:ind w:firstLine="480" w:firstLineChars="200"/>
        <w:rPr>
          <w:rFonts w:hint="eastAsia"/>
          <w:color w:val="000000"/>
          <w:sz w:val="24"/>
          <w:szCs w:val="24"/>
        </w:rPr>
      </w:pPr>
      <w:r>
        <w:rPr>
          <w:rFonts w:hint="eastAsia"/>
          <w:color w:val="000000"/>
          <w:sz w:val="24"/>
          <w:szCs w:val="24"/>
        </w:rPr>
        <w:t>设备运输由中标方负责，设备到现场后，由招标方通知中标方限期内到达施工现场，共同参加设备开箱验收，如不能按时到达，应与招标方协商。</w:t>
      </w:r>
    </w:p>
    <w:p>
      <w:pPr>
        <w:adjustRightInd w:val="0"/>
        <w:spacing w:line="500" w:lineRule="exact"/>
        <w:ind w:firstLine="466" w:firstLineChars="200"/>
        <w:outlineLvl w:val="1"/>
        <w:rPr>
          <w:rFonts w:hint="eastAsia" w:ascii="Times New Roman" w:hAnsi="Times New Roman" w:eastAsia="宋体" w:cs="Times New Roman"/>
          <w:b/>
          <w:bCs/>
          <w:color w:val="000000"/>
          <w:spacing w:val="-4"/>
          <w:sz w:val="24"/>
          <w:szCs w:val="24"/>
          <w:lang w:val="en-US" w:eastAsia="zh-CN"/>
        </w:rPr>
      </w:pPr>
      <w:bookmarkStart w:id="450" w:name="_Toc9987"/>
      <w:r>
        <w:rPr>
          <w:rFonts w:hint="eastAsia" w:ascii="Times New Roman" w:hAnsi="Times New Roman" w:eastAsia="宋体" w:cs="Times New Roman"/>
          <w:b/>
          <w:bCs/>
          <w:color w:val="000000"/>
          <w:spacing w:val="-4"/>
          <w:sz w:val="24"/>
          <w:szCs w:val="24"/>
          <w:lang w:val="en-US" w:eastAsia="zh-CN"/>
        </w:rPr>
        <w:t>3、设备储存</w:t>
      </w:r>
      <w:bookmarkEnd w:id="450"/>
    </w:p>
    <w:p>
      <w:pPr>
        <w:spacing w:line="500" w:lineRule="exact"/>
        <w:ind w:firstLine="480" w:firstLineChars="200"/>
        <w:rPr>
          <w:rFonts w:hint="eastAsia"/>
          <w:color w:val="000000"/>
          <w:szCs w:val="20"/>
        </w:rPr>
      </w:pPr>
      <w:r>
        <w:rPr>
          <w:rFonts w:hint="eastAsia"/>
          <w:color w:val="000000"/>
          <w:sz w:val="24"/>
          <w:szCs w:val="24"/>
        </w:rPr>
        <w:t>设备到现场后由</w:t>
      </w:r>
      <w:r>
        <w:rPr>
          <w:rFonts w:hint="eastAsia"/>
          <w:color w:val="000000"/>
          <w:sz w:val="24"/>
          <w:szCs w:val="24"/>
          <w:lang w:val="en-US" w:eastAsia="zh-CN"/>
        </w:rPr>
        <w:t>中标</w:t>
      </w:r>
      <w:r>
        <w:rPr>
          <w:rFonts w:hint="eastAsia"/>
          <w:color w:val="000000"/>
          <w:sz w:val="24"/>
          <w:szCs w:val="24"/>
        </w:rPr>
        <w:t>方负责储存。</w:t>
      </w:r>
    </w:p>
    <w:p>
      <w:pPr>
        <w:spacing w:before="120" w:beforeLines="50" w:after="120" w:afterLines="50" w:line="500" w:lineRule="exact"/>
        <w:ind w:firstLine="562" w:firstLineChars="200"/>
        <w:outlineLvl w:val="0"/>
        <w:rPr>
          <w:rFonts w:eastAsia="黑体"/>
          <w:b/>
          <w:sz w:val="28"/>
          <w:szCs w:val="28"/>
        </w:rPr>
      </w:pPr>
      <w:bookmarkStart w:id="451" w:name="_Toc31591"/>
      <w:r>
        <w:rPr>
          <w:rFonts w:hint="eastAsia" w:eastAsia="黑体"/>
          <w:b/>
          <w:sz w:val="28"/>
          <w:szCs w:val="28"/>
          <w:lang w:val="en-US" w:eastAsia="zh-CN"/>
        </w:rPr>
        <w:t>九</w:t>
      </w:r>
      <w:r>
        <w:rPr>
          <w:rFonts w:hint="eastAsia" w:eastAsia="黑体"/>
          <w:b/>
          <w:sz w:val="28"/>
          <w:szCs w:val="28"/>
        </w:rPr>
        <w:t>、其他要求</w:t>
      </w:r>
      <w:bookmarkEnd w:id="451"/>
    </w:p>
    <w:p>
      <w:pPr>
        <w:pStyle w:val="3"/>
        <w:spacing w:after="0" w:line="500" w:lineRule="exact"/>
        <w:ind w:firstLine="480" w:firstLineChars="200"/>
        <w:jc w:val="both"/>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1、随设备提供一套专用维修工具。</w:t>
      </w:r>
    </w:p>
    <w:p>
      <w:pPr>
        <w:pStyle w:val="3"/>
        <w:spacing w:after="0" w:line="500" w:lineRule="exact"/>
        <w:ind w:firstLine="480" w:firstLineChars="200"/>
        <w:jc w:val="both"/>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2、需将产品运输到招标方指定位置，免费提供随机配件，负责现场安装、调试等。</w:t>
      </w:r>
    </w:p>
    <w:p/>
    <w:p>
      <w:pPr>
        <w:rPr>
          <w:rFonts w:hint="eastAsia"/>
        </w:rPr>
      </w:pPr>
    </w:p>
    <w:p>
      <w:pPr>
        <w:rPr>
          <w:rFonts w:ascii="宋体" w:hAnsi="Times New Roman" w:eastAsia="宋体" w:cs="Times New Roman"/>
          <w:b/>
          <w:color w:val="auto"/>
          <w:kern w:val="2"/>
          <w:sz w:val="32"/>
          <w:szCs w:val="32"/>
          <w:highlight w:val="none"/>
          <w:lang w:val="en-US" w:eastAsia="zh-CN" w:bidi="ar-SA"/>
        </w:rPr>
        <w:sectPr>
          <w:headerReference r:id="rId13" w:type="default"/>
          <w:footerReference r:id="rId14" w:type="default"/>
          <w:pgSz w:w="11907" w:h="16840"/>
          <w:pgMar w:top="1418" w:right="1275" w:bottom="1418" w:left="1531" w:header="1021" w:footer="907" w:gutter="0"/>
          <w:pgNumType w:fmt="decimal" w:start="1"/>
          <w:cols w:space="720" w:num="1"/>
          <w:docGrid w:linePitch="312" w:charSpace="0"/>
        </w:sectPr>
      </w:pPr>
    </w:p>
    <w:p>
      <w:pPr>
        <w:pStyle w:val="3"/>
        <w:rPr>
          <w:lang w:val="en-US" w:eastAsia="zh-CN"/>
        </w:rPr>
      </w:pPr>
    </w:p>
    <w:p>
      <w:pPr>
        <w:pStyle w:val="5"/>
        <w:jc w:val="center"/>
        <w:rPr>
          <w:rFonts w:ascii="宋体" w:hAnsi="Times New Roman" w:eastAsia="宋体" w:cs="Times New Roman"/>
          <w:b/>
          <w:color w:val="auto"/>
          <w:kern w:val="2"/>
          <w:sz w:val="32"/>
          <w:szCs w:val="32"/>
          <w:highlight w:val="none"/>
          <w:lang w:val="en-US" w:eastAsia="zh-CN" w:bidi="ar-SA"/>
        </w:rPr>
      </w:pPr>
      <w:bookmarkStart w:id="452" w:name="_Toc9455"/>
      <w:r>
        <w:rPr>
          <w:rFonts w:ascii="宋体" w:hAnsi="Times New Roman" w:eastAsia="宋体" w:cs="Times New Roman"/>
          <w:b/>
          <w:color w:val="auto"/>
          <w:kern w:val="2"/>
          <w:sz w:val="32"/>
          <w:szCs w:val="32"/>
          <w:highlight w:val="none"/>
          <w:lang w:val="en-US" w:eastAsia="zh-CN" w:bidi="ar-SA"/>
        </w:rPr>
        <w:t>第</w:t>
      </w:r>
      <w:r>
        <w:rPr>
          <w:rFonts w:hint="eastAsia" w:ascii="宋体" w:hAnsi="Times New Roman" w:eastAsia="宋体" w:cs="Times New Roman"/>
          <w:b/>
          <w:color w:val="auto"/>
          <w:kern w:val="2"/>
          <w:sz w:val="32"/>
          <w:szCs w:val="32"/>
          <w:highlight w:val="none"/>
          <w:lang w:val="en-US" w:eastAsia="zh-CN" w:bidi="ar-SA"/>
        </w:rPr>
        <w:t>五</w:t>
      </w:r>
      <w:r>
        <w:rPr>
          <w:rFonts w:ascii="宋体" w:hAnsi="Times New Roman" w:eastAsia="宋体" w:cs="Times New Roman"/>
          <w:b/>
          <w:color w:val="auto"/>
          <w:kern w:val="2"/>
          <w:sz w:val="32"/>
          <w:szCs w:val="32"/>
          <w:highlight w:val="none"/>
          <w:lang w:val="en-US" w:eastAsia="zh-CN" w:bidi="ar-SA"/>
        </w:rPr>
        <w:t xml:space="preserve">章  </w:t>
      </w:r>
      <w:r>
        <w:rPr>
          <w:rFonts w:hint="eastAsia" w:ascii="宋体" w:hAnsi="Times New Roman" w:eastAsia="宋体" w:cs="Times New Roman"/>
          <w:b/>
          <w:color w:val="auto"/>
          <w:kern w:val="2"/>
          <w:sz w:val="32"/>
          <w:szCs w:val="32"/>
          <w:highlight w:val="none"/>
          <w:lang w:val="en-US" w:eastAsia="zh-CN" w:bidi="ar-SA"/>
        </w:rPr>
        <w:t>采购响应</w:t>
      </w:r>
      <w:r>
        <w:rPr>
          <w:rFonts w:ascii="宋体" w:hAnsi="Times New Roman" w:eastAsia="宋体" w:cs="Times New Roman"/>
          <w:b/>
          <w:color w:val="auto"/>
          <w:kern w:val="2"/>
          <w:sz w:val="32"/>
          <w:szCs w:val="32"/>
          <w:highlight w:val="none"/>
          <w:lang w:val="en-US" w:eastAsia="zh-CN" w:bidi="ar-SA"/>
        </w:rPr>
        <w:t>文件格式</w:t>
      </w:r>
      <w:bookmarkEnd w:id="120"/>
      <w:bookmarkEnd w:id="121"/>
      <w:bookmarkEnd w:id="452"/>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widowControl w:val="0"/>
        <w:snapToGrid w:val="0"/>
        <w:jc w:val="center"/>
        <w:rPr>
          <w:rFonts w:ascii="宋体"/>
          <w:color w:val="auto"/>
          <w:kern w:val="2"/>
          <w:sz w:val="110"/>
          <w:szCs w:val="24"/>
          <w:highlight w:val="none"/>
        </w:rPr>
      </w:pPr>
      <w:bookmarkStart w:id="453" w:name="_Toc22467_WPSOffice_Level1"/>
      <w:r>
        <w:rPr>
          <w:rFonts w:hint="eastAsia" w:ascii="宋体"/>
          <w:color w:val="auto"/>
          <w:kern w:val="2"/>
          <w:sz w:val="110"/>
          <w:szCs w:val="24"/>
          <w:highlight w:val="none"/>
        </w:rPr>
        <w:t>采购响应</w:t>
      </w:r>
      <w:r>
        <w:rPr>
          <w:rFonts w:ascii="宋体"/>
          <w:color w:val="auto"/>
          <w:kern w:val="2"/>
          <w:sz w:val="110"/>
          <w:szCs w:val="24"/>
          <w:highlight w:val="none"/>
        </w:rPr>
        <w:t>文件</w:t>
      </w:r>
      <w:bookmarkEnd w:id="453"/>
    </w:p>
    <w:p>
      <w:pPr>
        <w:jc w:val="center"/>
        <w:rPr>
          <w:rFonts w:ascii="宋体"/>
          <w:color w:val="auto"/>
          <w:sz w:val="36"/>
          <w:szCs w:val="36"/>
          <w:highlight w:val="none"/>
        </w:rPr>
      </w:pPr>
      <w:bookmarkStart w:id="454" w:name="_Toc19430_WPSOffice_Level1"/>
      <w:r>
        <w:rPr>
          <w:rFonts w:ascii="宋体"/>
          <w:color w:val="auto"/>
          <w:sz w:val="36"/>
          <w:szCs w:val="36"/>
          <w:highlight w:val="none"/>
        </w:rPr>
        <w:t>（封  面）</w:t>
      </w:r>
      <w:bookmarkEnd w:id="454"/>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455" w:name="_Toc15062_WPSOffice_Level1"/>
      <w:r>
        <w:rPr>
          <w:rFonts w:ascii="宋体"/>
          <w:bCs/>
          <w:color w:val="auto"/>
          <w:kern w:val="2"/>
          <w:sz w:val="30"/>
          <w:szCs w:val="30"/>
          <w:highlight w:val="none"/>
        </w:rPr>
        <w:t>项目名称：</w:t>
      </w:r>
      <w:bookmarkEnd w:id="455"/>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r>
        <w:rPr>
          <w:rFonts w:hint="eastAsia" w:ascii="宋体"/>
          <w:bCs/>
          <w:color w:val="auto"/>
          <w:kern w:val="2"/>
          <w:sz w:val="30"/>
          <w:szCs w:val="30"/>
          <w:highlight w:val="none"/>
        </w:rPr>
        <w:t>项目编号：</w:t>
      </w:r>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456" w:name="_Toc20974_WPSOffice_Level1"/>
      <w:r>
        <w:rPr>
          <w:rFonts w:hint="eastAsia" w:ascii="宋体"/>
          <w:bCs/>
          <w:color w:val="auto"/>
          <w:kern w:val="2"/>
          <w:sz w:val="30"/>
          <w:szCs w:val="30"/>
          <w:highlight w:val="none"/>
        </w:rPr>
        <w:t>供 应 商</w:t>
      </w:r>
      <w:r>
        <w:rPr>
          <w:rFonts w:ascii="宋体"/>
          <w:bCs/>
          <w:color w:val="auto"/>
          <w:kern w:val="2"/>
          <w:sz w:val="30"/>
          <w:szCs w:val="30"/>
          <w:highlight w:val="none"/>
        </w:rPr>
        <w:t>（盖章）：</w:t>
      </w:r>
      <w:bookmarkEnd w:id="456"/>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457" w:name="_Toc20260_WPSOffice_Level1"/>
      <w:r>
        <w:rPr>
          <w:rFonts w:ascii="宋体"/>
          <w:bCs/>
          <w:color w:val="auto"/>
          <w:kern w:val="2"/>
          <w:sz w:val="30"/>
          <w:szCs w:val="30"/>
          <w:highlight w:val="none"/>
        </w:rPr>
        <w:t>法定代表人（盖章）：</w:t>
      </w:r>
      <w:bookmarkEnd w:id="457"/>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458" w:name="_Toc1396_WPSOffice_Level1"/>
      <w:r>
        <w:rPr>
          <w:rFonts w:ascii="宋体"/>
          <w:bCs/>
          <w:color w:val="auto"/>
          <w:kern w:val="2"/>
          <w:sz w:val="30"/>
          <w:szCs w:val="30"/>
          <w:highlight w:val="none"/>
        </w:rPr>
        <w:t>日期：   年   月   日</w:t>
      </w:r>
      <w:bookmarkEnd w:id="458"/>
    </w:p>
    <w:p>
      <w:pPr>
        <w:widowControl w:val="0"/>
        <w:tabs>
          <w:tab w:val="left" w:pos="1080"/>
          <w:tab w:val="left" w:pos="1980"/>
          <w:tab w:val="left" w:pos="2160"/>
          <w:tab w:val="left" w:pos="2340"/>
          <w:tab w:val="left" w:pos="2520"/>
          <w:tab w:val="left" w:pos="2700"/>
          <w:tab w:val="left" w:pos="3240"/>
        </w:tabs>
        <w:spacing w:line="400" w:lineRule="exact"/>
        <w:jc w:val="center"/>
        <w:outlineLvl w:val="1"/>
        <w:rPr>
          <w:rFonts w:ascii="宋体"/>
          <w:b/>
          <w:color w:val="auto"/>
          <w:kern w:val="2"/>
          <w:sz w:val="32"/>
          <w:szCs w:val="32"/>
          <w:highlight w:val="none"/>
        </w:rPr>
      </w:pPr>
      <w:r>
        <w:rPr>
          <w:rFonts w:ascii="宋体"/>
          <w:color w:val="auto"/>
          <w:sz w:val="36"/>
          <w:highlight w:val="none"/>
        </w:rPr>
        <w:br w:type="page"/>
      </w:r>
      <w:bookmarkStart w:id="459" w:name="_Toc14424_WPSOffice_Level1"/>
      <w:bookmarkStart w:id="460" w:name="_Toc31078"/>
      <w:r>
        <w:rPr>
          <w:rFonts w:hint="eastAsia" w:ascii="宋体"/>
          <w:b/>
          <w:color w:val="auto"/>
          <w:kern w:val="2"/>
          <w:sz w:val="32"/>
          <w:szCs w:val="32"/>
          <w:highlight w:val="none"/>
        </w:rPr>
        <w:t>采购响应</w:t>
      </w:r>
      <w:r>
        <w:rPr>
          <w:rFonts w:ascii="宋体"/>
          <w:b/>
          <w:color w:val="auto"/>
          <w:kern w:val="2"/>
          <w:sz w:val="32"/>
          <w:szCs w:val="32"/>
          <w:highlight w:val="none"/>
        </w:rPr>
        <w:t>文件目录</w:t>
      </w:r>
      <w:bookmarkEnd w:id="459"/>
      <w:bookmarkEnd w:id="460"/>
    </w:p>
    <w:p>
      <w:pPr>
        <w:widowControl w:val="0"/>
        <w:spacing w:line="500" w:lineRule="exact"/>
        <w:jc w:val="both"/>
        <w:rPr>
          <w:rFonts w:ascii="宋体"/>
          <w:b/>
          <w:bCs/>
          <w:color w:val="auto"/>
          <w:kern w:val="2"/>
          <w:sz w:val="28"/>
          <w:szCs w:val="28"/>
          <w:highlight w:val="none"/>
        </w:rPr>
      </w:pPr>
      <w:r>
        <w:rPr>
          <w:rFonts w:ascii="宋体"/>
          <w:b/>
          <w:bCs/>
          <w:color w:val="auto"/>
          <w:kern w:val="2"/>
          <w:sz w:val="28"/>
          <w:szCs w:val="28"/>
          <w:highlight w:val="none"/>
        </w:rPr>
        <w:t>第一部分：</w:t>
      </w:r>
      <w:r>
        <w:rPr>
          <w:rFonts w:hint="eastAsia" w:ascii="宋体"/>
          <w:b/>
          <w:bCs/>
          <w:color w:val="auto"/>
          <w:kern w:val="2"/>
          <w:sz w:val="28"/>
          <w:szCs w:val="28"/>
          <w:highlight w:val="none"/>
        </w:rPr>
        <w:t>采购响应</w:t>
      </w:r>
      <w:r>
        <w:rPr>
          <w:rFonts w:ascii="宋体"/>
          <w:b/>
          <w:bCs/>
          <w:color w:val="auto"/>
          <w:kern w:val="2"/>
          <w:sz w:val="28"/>
          <w:szCs w:val="28"/>
          <w:highlight w:val="none"/>
        </w:rPr>
        <w:t>文件商务</w:t>
      </w:r>
      <w:r>
        <w:rPr>
          <w:rFonts w:hint="eastAsia" w:ascii="宋体"/>
          <w:b/>
          <w:bCs/>
          <w:color w:val="auto"/>
          <w:kern w:val="2"/>
          <w:sz w:val="28"/>
          <w:szCs w:val="28"/>
          <w:highlight w:val="none"/>
        </w:rPr>
        <w:t>部分</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1）洽谈报价函</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2）报价一览表</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3) 分项报价表</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4）供应商基本情况表</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5）法定代表人身份证明</w:t>
      </w:r>
      <w:r>
        <w:rPr>
          <w:rFonts w:hint="eastAsia"/>
          <w:bCs/>
          <w:color w:val="auto"/>
          <w:highlight w:val="none"/>
        </w:rPr>
        <w:tab/>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6）法人授权委托书</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7）供应商资格证明文件</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8）供应商资料真实性承诺书</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lang w:val="en-US" w:eastAsia="zh-CN"/>
        </w:rPr>
        <w:t>9</w:t>
      </w:r>
      <w:r>
        <w:rPr>
          <w:rFonts w:hint="eastAsia"/>
          <w:bCs/>
          <w:color w:val="auto"/>
          <w:highlight w:val="none"/>
        </w:rPr>
        <w:t>)技术部分/商务部分差异表</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0</w:t>
      </w:r>
      <w:r>
        <w:rPr>
          <w:rFonts w:hint="eastAsia"/>
          <w:bCs/>
          <w:color w:val="auto"/>
          <w:highlight w:val="none"/>
        </w:rPr>
        <w:t>)廉洁承诺书,供需双方廉洁互保协议</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1</w:t>
      </w:r>
      <w:r>
        <w:rPr>
          <w:rFonts w:hint="eastAsia"/>
          <w:bCs/>
          <w:color w:val="auto"/>
          <w:highlight w:val="none"/>
        </w:rPr>
        <w:t>）</w:t>
      </w:r>
      <w:r>
        <w:rPr>
          <w:rFonts w:hint="eastAsia"/>
          <w:bCs/>
          <w:color w:val="auto"/>
          <w:highlight w:val="none"/>
          <w:lang w:val="en-US" w:eastAsia="zh-CN"/>
        </w:rPr>
        <w:t>开票信息</w:t>
      </w:r>
      <w:r>
        <w:rPr>
          <w:rFonts w:hint="eastAsia"/>
          <w:bCs/>
          <w:color w:val="auto"/>
          <w:highlight w:val="none"/>
        </w:rPr>
        <w:t>表</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2</w:t>
      </w:r>
      <w:r>
        <w:rPr>
          <w:rFonts w:hint="eastAsia"/>
          <w:bCs/>
          <w:color w:val="auto"/>
          <w:highlight w:val="none"/>
        </w:rPr>
        <w:t>）供应商认为有必要提供的声明及文件</w:t>
      </w:r>
    </w:p>
    <w:p>
      <w:pPr>
        <w:widowControl w:val="0"/>
        <w:spacing w:line="500" w:lineRule="exact"/>
        <w:jc w:val="both"/>
        <w:rPr>
          <w:rFonts w:ascii="宋体"/>
          <w:b/>
          <w:bCs/>
          <w:color w:val="auto"/>
          <w:kern w:val="2"/>
          <w:sz w:val="32"/>
          <w:szCs w:val="32"/>
          <w:highlight w:val="none"/>
        </w:rPr>
      </w:pPr>
      <w:r>
        <w:rPr>
          <w:rFonts w:ascii="宋体"/>
          <w:b/>
          <w:bCs/>
          <w:color w:val="auto"/>
          <w:kern w:val="2"/>
          <w:sz w:val="32"/>
          <w:szCs w:val="32"/>
          <w:highlight w:val="none"/>
        </w:rPr>
        <w:t>第二部分：</w:t>
      </w:r>
      <w:r>
        <w:rPr>
          <w:rFonts w:hint="eastAsia" w:ascii="宋体"/>
          <w:b/>
          <w:bCs/>
          <w:color w:val="auto"/>
          <w:kern w:val="2"/>
          <w:sz w:val="32"/>
          <w:szCs w:val="32"/>
          <w:highlight w:val="none"/>
        </w:rPr>
        <w:t>采购响应</w:t>
      </w:r>
      <w:r>
        <w:rPr>
          <w:rFonts w:ascii="宋体"/>
          <w:b/>
          <w:bCs/>
          <w:color w:val="auto"/>
          <w:kern w:val="2"/>
          <w:sz w:val="32"/>
          <w:szCs w:val="32"/>
          <w:highlight w:val="none"/>
        </w:rPr>
        <w:t>文件</w:t>
      </w:r>
      <w:r>
        <w:rPr>
          <w:rFonts w:hint="eastAsia" w:ascii="宋体"/>
          <w:b/>
          <w:bCs/>
          <w:color w:val="auto"/>
          <w:kern w:val="2"/>
          <w:sz w:val="32"/>
          <w:szCs w:val="32"/>
          <w:highlight w:val="none"/>
        </w:rPr>
        <w:t>技术部分</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1)服务方案，包括详细的实施方案等。技术部分应满足或者高于技术规格书的要求。</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2)对采购人提出的协作和配合要求</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3）对服务内容和方式、人员设置等相关问题，做出明确的说明和承诺</w:t>
      </w:r>
    </w:p>
    <w:p>
      <w:pPr>
        <w:pStyle w:val="25"/>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lang w:val="en-US" w:eastAsia="zh-CN"/>
        </w:rPr>
        <w:t>4</w:t>
      </w:r>
      <w:r>
        <w:rPr>
          <w:rFonts w:hint="eastAsia"/>
          <w:bCs/>
          <w:color w:val="auto"/>
          <w:highlight w:val="none"/>
        </w:rPr>
        <w:t>)认为有必要说明的其它问题。</w:t>
      </w:r>
    </w:p>
    <w:p>
      <w:pPr>
        <w:widowControl w:val="0"/>
        <w:tabs>
          <w:tab w:val="left" w:pos="360"/>
          <w:tab w:val="left" w:pos="720"/>
          <w:tab w:val="left" w:pos="3060"/>
        </w:tabs>
        <w:spacing w:line="400" w:lineRule="exact"/>
        <w:outlineLvl w:val="1"/>
        <w:rPr>
          <w:rStyle w:val="41"/>
          <w:rFonts w:hint="eastAsia"/>
          <w:color w:val="auto"/>
          <w:highlight w:val="none"/>
          <w:lang w:val="en-US"/>
        </w:rPr>
      </w:pPr>
      <w:r>
        <w:rPr>
          <w:rFonts w:ascii="宋体"/>
          <w:b/>
          <w:color w:val="auto"/>
          <w:sz w:val="24"/>
          <w:szCs w:val="24"/>
          <w:highlight w:val="none"/>
        </w:rPr>
        <w:br w:type="page"/>
      </w:r>
      <w:bookmarkStart w:id="461" w:name="_Toc6200"/>
      <w:bookmarkStart w:id="462" w:name="_Toc512354292"/>
      <w:bookmarkStart w:id="463" w:name="_Toc10122275"/>
      <w:bookmarkStart w:id="464" w:name="_Toc484699854"/>
      <w:bookmarkStart w:id="465" w:name="_Toc10184884"/>
      <w:bookmarkStart w:id="466" w:name="_Toc31166"/>
      <w:bookmarkStart w:id="467" w:name="_Toc484699852"/>
      <w:bookmarkStart w:id="468" w:name="_Toc382509464"/>
      <w:bookmarkStart w:id="469" w:name="_Toc512354290"/>
      <w:r>
        <w:rPr>
          <w:rStyle w:val="41"/>
          <w:rFonts w:hint="eastAsia"/>
          <w:color w:val="auto"/>
          <w:sz w:val="28"/>
          <w:szCs w:val="28"/>
          <w:highlight w:val="none"/>
        </w:rPr>
        <w:t>格式一</w:t>
      </w:r>
      <w:bookmarkEnd w:id="461"/>
      <w:r>
        <w:rPr>
          <w:rStyle w:val="41"/>
          <w:rFonts w:hint="eastAsia"/>
          <w:color w:val="auto"/>
          <w:sz w:val="28"/>
          <w:szCs w:val="28"/>
          <w:highlight w:val="none"/>
        </w:rPr>
        <w:t xml:space="preserve"> </w:t>
      </w:r>
      <w:r>
        <w:rPr>
          <w:rStyle w:val="41"/>
          <w:rFonts w:hint="eastAsia"/>
          <w:color w:val="auto"/>
          <w:highlight w:val="none"/>
        </w:rPr>
        <w:t xml:space="preserve">                          </w:t>
      </w:r>
      <w:r>
        <w:rPr>
          <w:rStyle w:val="41"/>
          <w:rFonts w:hint="eastAsia"/>
          <w:color w:val="auto"/>
          <w:highlight w:val="none"/>
          <w:lang w:val="en-US"/>
        </w:rPr>
        <w:t xml:space="preserve">      </w:t>
      </w:r>
    </w:p>
    <w:p>
      <w:pPr>
        <w:widowControl w:val="0"/>
        <w:tabs>
          <w:tab w:val="left" w:pos="360"/>
          <w:tab w:val="left" w:pos="720"/>
          <w:tab w:val="left" w:pos="3060"/>
        </w:tabs>
        <w:spacing w:line="400" w:lineRule="exact"/>
        <w:jc w:val="center"/>
        <w:outlineLvl w:val="1"/>
        <w:rPr>
          <w:rFonts w:ascii="宋体"/>
          <w:b/>
          <w:color w:val="auto"/>
          <w:kern w:val="2"/>
          <w:sz w:val="36"/>
          <w:szCs w:val="36"/>
          <w:highlight w:val="none"/>
        </w:rPr>
      </w:pPr>
      <w:bookmarkStart w:id="470" w:name="_Toc22863"/>
      <w:r>
        <w:rPr>
          <w:rStyle w:val="41"/>
          <w:rFonts w:hint="eastAsia"/>
          <w:color w:val="auto"/>
          <w:sz w:val="36"/>
          <w:szCs w:val="36"/>
          <w:highlight w:val="none"/>
        </w:rPr>
        <w:t>洽谈</w:t>
      </w:r>
      <w:r>
        <w:rPr>
          <w:rStyle w:val="41"/>
          <w:color w:val="auto"/>
          <w:sz w:val="36"/>
          <w:szCs w:val="36"/>
          <w:highlight w:val="none"/>
        </w:rPr>
        <w:t>报价函</w:t>
      </w:r>
      <w:bookmarkEnd w:id="462"/>
      <w:bookmarkEnd w:id="463"/>
      <w:bookmarkEnd w:id="464"/>
      <w:bookmarkEnd w:id="465"/>
      <w:bookmarkEnd w:id="466"/>
      <w:bookmarkEnd w:id="470"/>
    </w:p>
    <w:p>
      <w:pPr>
        <w:spacing w:line="400" w:lineRule="exact"/>
        <w:jc w:val="both"/>
        <w:rPr>
          <w:rFonts w:ascii="宋体"/>
          <w:color w:val="auto"/>
          <w:sz w:val="28"/>
          <w:szCs w:val="28"/>
          <w:highlight w:val="none"/>
        </w:rPr>
      </w:pPr>
    </w:p>
    <w:p>
      <w:pPr>
        <w:spacing w:line="360" w:lineRule="auto"/>
        <w:rPr>
          <w:rFonts w:ascii="宋体"/>
          <w:b/>
          <w:color w:val="auto"/>
          <w:sz w:val="24"/>
          <w:szCs w:val="24"/>
          <w:highlight w:val="none"/>
          <w:u w:val="single"/>
        </w:rPr>
      </w:pPr>
      <w:r>
        <w:rPr>
          <w:rFonts w:hint="eastAsia" w:ascii="宋体" w:cs="宋体"/>
          <w:color w:val="auto"/>
          <w:sz w:val="24"/>
          <w:szCs w:val="24"/>
          <w:highlight w:val="none"/>
          <w:u w:val="single"/>
          <w:lang w:val="zh-CN"/>
        </w:rPr>
        <w:t>（采购人全称）</w:t>
      </w:r>
      <w:r>
        <w:rPr>
          <w:rFonts w:hint="eastAsia" w:ascii="宋体" w:cs="宋体"/>
          <w:color w:val="auto"/>
          <w:sz w:val="24"/>
          <w:szCs w:val="24"/>
          <w:highlight w:val="none"/>
          <w:u w:val="single"/>
          <w:lang w:val="en-US" w:eastAsia="zh-CN"/>
        </w:rPr>
        <w:t xml:space="preserve">         </w:t>
      </w:r>
      <w:r>
        <w:rPr>
          <w:rFonts w:hint="eastAsia" w:ascii="宋体"/>
          <w:color w:val="auto"/>
          <w:sz w:val="24"/>
          <w:szCs w:val="24"/>
          <w:highlight w:val="none"/>
          <w:u w:val="single"/>
        </w:rPr>
        <w:t>：</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根据已收到的</w:t>
      </w:r>
      <w:r>
        <w:rPr>
          <w:rFonts w:hint="eastAsia" w:ascii="宋体"/>
          <w:color w:val="auto"/>
          <w:sz w:val="24"/>
          <w:szCs w:val="24"/>
          <w:highlight w:val="none"/>
        </w:rPr>
        <w:t>采购</w:t>
      </w:r>
      <w:r>
        <w:rPr>
          <w:rFonts w:ascii="宋体"/>
          <w:color w:val="auto"/>
          <w:sz w:val="24"/>
          <w:szCs w:val="24"/>
          <w:highlight w:val="none"/>
        </w:rPr>
        <w:t>文件，我公司经过研究</w:t>
      </w:r>
      <w:r>
        <w:rPr>
          <w:rFonts w:hint="eastAsia" w:ascii="宋体"/>
          <w:color w:val="auto"/>
          <w:sz w:val="24"/>
          <w:szCs w:val="24"/>
          <w:highlight w:val="none"/>
        </w:rPr>
        <w:t>采购</w:t>
      </w:r>
      <w:r>
        <w:rPr>
          <w:rFonts w:ascii="宋体"/>
          <w:color w:val="auto"/>
          <w:sz w:val="24"/>
          <w:szCs w:val="24"/>
          <w:highlight w:val="none"/>
        </w:rPr>
        <w:t>文件之后，决定授权</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rPr>
        <w:t>（</w:t>
      </w:r>
      <w:r>
        <w:rPr>
          <w:rFonts w:hint="eastAsia" w:ascii="宋体"/>
          <w:color w:val="auto"/>
          <w:sz w:val="24"/>
          <w:szCs w:val="24"/>
          <w:highlight w:val="none"/>
          <w:lang w:val="en-US" w:eastAsia="zh-CN"/>
        </w:rPr>
        <w:t>法人代表或授权</w:t>
      </w:r>
      <w:r>
        <w:rPr>
          <w:rFonts w:ascii="宋体"/>
          <w:color w:val="auto"/>
          <w:sz w:val="24"/>
          <w:szCs w:val="24"/>
          <w:highlight w:val="none"/>
        </w:rPr>
        <w:t xml:space="preserve">代理人），参加贵单位组织的 </w:t>
      </w:r>
      <w:r>
        <w:rPr>
          <w:rFonts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ascii="宋体"/>
          <w:color w:val="auto"/>
          <w:sz w:val="24"/>
          <w:szCs w:val="24"/>
          <w:highlight w:val="none"/>
          <w:u w:val="single"/>
        </w:rPr>
        <w:t xml:space="preserve">  </w:t>
      </w:r>
      <w:r>
        <w:rPr>
          <w:rFonts w:ascii="宋体"/>
          <w:color w:val="auto"/>
          <w:sz w:val="24"/>
          <w:szCs w:val="24"/>
          <w:highlight w:val="none"/>
        </w:rPr>
        <w:t>（</w:t>
      </w:r>
      <w:r>
        <w:rPr>
          <w:rFonts w:hint="eastAsia" w:ascii="宋体"/>
          <w:color w:val="auto"/>
          <w:sz w:val="24"/>
          <w:szCs w:val="24"/>
          <w:highlight w:val="none"/>
        </w:rPr>
        <w:t>项目</w:t>
      </w:r>
      <w:r>
        <w:rPr>
          <w:rFonts w:ascii="宋体"/>
          <w:color w:val="auto"/>
          <w:sz w:val="24"/>
          <w:szCs w:val="24"/>
          <w:highlight w:val="none"/>
        </w:rPr>
        <w:t>名称）</w:t>
      </w:r>
      <w:r>
        <w:rPr>
          <w:rFonts w:hint="eastAsia" w:ascii="宋体"/>
          <w:color w:val="auto"/>
          <w:sz w:val="24"/>
          <w:szCs w:val="24"/>
          <w:highlight w:val="none"/>
        </w:rPr>
        <w:t>采购</w:t>
      </w:r>
      <w:r>
        <w:rPr>
          <w:rFonts w:ascii="宋体"/>
          <w:color w:val="auto"/>
          <w:sz w:val="24"/>
          <w:szCs w:val="24"/>
          <w:highlight w:val="none"/>
        </w:rPr>
        <w:t>活动，并根据法定代表人身份证</w:t>
      </w:r>
      <w:r>
        <w:rPr>
          <w:rFonts w:hint="eastAsia" w:ascii="宋体"/>
          <w:color w:val="auto"/>
          <w:sz w:val="24"/>
          <w:szCs w:val="24"/>
          <w:highlight w:val="none"/>
          <w:lang w:val="en-US" w:eastAsia="zh-CN"/>
        </w:rPr>
        <w:t>明</w:t>
      </w:r>
      <w:r>
        <w:rPr>
          <w:rFonts w:ascii="宋体"/>
          <w:color w:val="auto"/>
          <w:sz w:val="24"/>
          <w:szCs w:val="24"/>
          <w:highlight w:val="none"/>
        </w:rPr>
        <w:t>书（或法人授权委托书）赋予的权限参加整个</w:t>
      </w:r>
      <w:r>
        <w:rPr>
          <w:rFonts w:hint="eastAsia" w:ascii="宋体"/>
          <w:color w:val="auto"/>
          <w:sz w:val="24"/>
          <w:szCs w:val="24"/>
          <w:highlight w:val="none"/>
        </w:rPr>
        <w:t>采购</w:t>
      </w:r>
      <w:r>
        <w:rPr>
          <w:rFonts w:ascii="宋体"/>
          <w:color w:val="auto"/>
          <w:sz w:val="24"/>
          <w:szCs w:val="24"/>
          <w:highlight w:val="none"/>
        </w:rPr>
        <w:t>工作的全过程。为此：</w:t>
      </w:r>
    </w:p>
    <w:p>
      <w:pPr>
        <w:numPr>
          <w:ilvl w:val="0"/>
          <w:numId w:val="5"/>
        </w:numPr>
        <w:spacing w:line="440" w:lineRule="exact"/>
        <w:ind w:firstLine="480" w:firstLineChars="200"/>
        <w:jc w:val="both"/>
        <w:rPr>
          <w:rFonts w:ascii="宋体"/>
          <w:color w:val="auto"/>
          <w:sz w:val="24"/>
          <w:szCs w:val="24"/>
          <w:highlight w:val="none"/>
        </w:rPr>
      </w:pPr>
      <w:r>
        <w:rPr>
          <w:rFonts w:ascii="宋体"/>
          <w:color w:val="auto"/>
          <w:sz w:val="24"/>
          <w:szCs w:val="24"/>
          <w:highlight w:val="none"/>
        </w:rPr>
        <w:t>提供</w:t>
      </w:r>
      <w:r>
        <w:rPr>
          <w:rFonts w:hint="eastAsia" w:ascii="宋体"/>
          <w:color w:val="auto"/>
          <w:sz w:val="24"/>
          <w:szCs w:val="24"/>
          <w:highlight w:val="none"/>
        </w:rPr>
        <w:t>供应商</w:t>
      </w:r>
      <w:r>
        <w:rPr>
          <w:rFonts w:ascii="宋体"/>
          <w:color w:val="auto"/>
          <w:sz w:val="24"/>
          <w:szCs w:val="24"/>
          <w:highlight w:val="none"/>
        </w:rPr>
        <w:t>须知规定的全部</w:t>
      </w:r>
      <w:r>
        <w:rPr>
          <w:rFonts w:hint="eastAsia" w:ascii="宋体"/>
          <w:color w:val="auto"/>
          <w:sz w:val="24"/>
          <w:szCs w:val="24"/>
          <w:highlight w:val="none"/>
        </w:rPr>
        <w:t>采购响应</w:t>
      </w:r>
      <w:r>
        <w:rPr>
          <w:rFonts w:ascii="宋体"/>
          <w:color w:val="auto"/>
          <w:sz w:val="24"/>
          <w:szCs w:val="24"/>
          <w:highlight w:val="none"/>
        </w:rPr>
        <w:t>文件，其中：</w:t>
      </w:r>
      <w:r>
        <w:rPr>
          <w:rFonts w:hint="eastAsia" w:ascii="宋体"/>
          <w:color w:val="auto"/>
          <w:sz w:val="24"/>
          <w:szCs w:val="24"/>
          <w:highlight w:val="none"/>
        </w:rPr>
        <w:t>响应文件</w:t>
      </w:r>
      <w:r>
        <w:rPr>
          <w:rFonts w:ascii="宋体"/>
          <w:color w:val="auto"/>
          <w:sz w:val="24"/>
          <w:szCs w:val="24"/>
          <w:highlight w:val="none"/>
        </w:rPr>
        <w:t>正本一份</w:t>
      </w:r>
    </w:p>
    <w:p>
      <w:pPr>
        <w:numPr>
          <w:ilvl w:val="0"/>
          <w:numId w:val="5"/>
        </w:numPr>
        <w:spacing w:line="440" w:lineRule="exact"/>
        <w:ind w:firstLine="480" w:firstLineChars="200"/>
        <w:jc w:val="both"/>
        <w:rPr>
          <w:rFonts w:ascii="宋体"/>
          <w:color w:val="auto"/>
          <w:sz w:val="24"/>
          <w:szCs w:val="24"/>
          <w:highlight w:val="none"/>
        </w:rPr>
      </w:pPr>
      <w:r>
        <w:rPr>
          <w:rFonts w:hint="eastAsia" w:ascii="宋体"/>
          <w:color w:val="auto"/>
          <w:sz w:val="24"/>
          <w:szCs w:val="24"/>
          <w:highlight w:val="none"/>
        </w:rPr>
        <w:t>固定总价</w:t>
      </w:r>
      <w:r>
        <w:rPr>
          <w:rFonts w:hint="eastAsia" w:ascii="宋体"/>
          <w:color w:val="auto"/>
          <w:sz w:val="24"/>
          <w:szCs w:val="24"/>
          <w:highlight w:val="none"/>
          <w:u w:val="single"/>
        </w:rPr>
        <w:t xml:space="preserve">      </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u w:val="single"/>
        </w:rPr>
        <w:t xml:space="preserve">   </w:t>
      </w:r>
      <w:r>
        <w:rPr>
          <w:rFonts w:hint="eastAsia" w:ascii="宋体"/>
          <w:color w:val="auto"/>
          <w:sz w:val="24"/>
          <w:szCs w:val="24"/>
          <w:highlight w:val="none"/>
        </w:rPr>
        <w:t>（含税报价），其中增值税税率</w:t>
      </w:r>
      <w:r>
        <w:rPr>
          <w:rFonts w:hint="eastAsia" w:ascii="宋体"/>
          <w:color w:val="auto"/>
          <w:sz w:val="24"/>
          <w:szCs w:val="24"/>
          <w:highlight w:val="none"/>
          <w:u w:val="single"/>
        </w:rPr>
        <w:t xml:space="preserve">为       </w:t>
      </w:r>
      <w:r>
        <w:rPr>
          <w:rFonts w:hint="eastAsia" w:ascii="宋体"/>
          <w:color w:val="auto"/>
          <w:sz w:val="24"/>
          <w:szCs w:val="24"/>
          <w:highlight w:val="none"/>
        </w:rPr>
        <w:t>。</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3、贵单位的</w:t>
      </w:r>
      <w:r>
        <w:rPr>
          <w:rFonts w:hint="eastAsia" w:ascii="宋体"/>
          <w:color w:val="auto"/>
          <w:sz w:val="24"/>
          <w:szCs w:val="24"/>
          <w:highlight w:val="none"/>
        </w:rPr>
        <w:t>采购</w:t>
      </w:r>
      <w:r>
        <w:rPr>
          <w:rFonts w:ascii="宋体"/>
          <w:color w:val="auto"/>
          <w:sz w:val="24"/>
          <w:szCs w:val="24"/>
          <w:highlight w:val="none"/>
        </w:rPr>
        <w:t>文件、</w:t>
      </w:r>
      <w:r>
        <w:rPr>
          <w:rFonts w:hint="eastAsia" w:ascii="宋体"/>
          <w:color w:val="auto"/>
          <w:sz w:val="24"/>
          <w:szCs w:val="24"/>
          <w:highlight w:val="none"/>
        </w:rPr>
        <w:t>成交</w:t>
      </w:r>
      <w:r>
        <w:rPr>
          <w:rFonts w:ascii="宋体"/>
          <w:color w:val="auto"/>
          <w:sz w:val="24"/>
          <w:szCs w:val="24"/>
          <w:highlight w:val="none"/>
        </w:rPr>
        <w:t>通知书和本</w:t>
      </w:r>
      <w:r>
        <w:rPr>
          <w:rFonts w:hint="eastAsia" w:ascii="宋体"/>
          <w:color w:val="auto"/>
          <w:sz w:val="24"/>
          <w:szCs w:val="24"/>
          <w:highlight w:val="none"/>
        </w:rPr>
        <w:t>响应</w:t>
      </w:r>
      <w:r>
        <w:rPr>
          <w:rFonts w:ascii="宋体"/>
          <w:color w:val="auto"/>
          <w:sz w:val="24"/>
          <w:szCs w:val="24"/>
          <w:highlight w:val="none"/>
        </w:rPr>
        <w:t>文件构成约束双方的合同。</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4、本</w:t>
      </w:r>
      <w:r>
        <w:rPr>
          <w:rFonts w:hint="eastAsia" w:ascii="宋体"/>
          <w:color w:val="auto"/>
          <w:sz w:val="24"/>
          <w:szCs w:val="24"/>
          <w:highlight w:val="none"/>
        </w:rPr>
        <w:t>供应商</w:t>
      </w:r>
      <w:r>
        <w:rPr>
          <w:rFonts w:ascii="宋体"/>
          <w:color w:val="auto"/>
          <w:sz w:val="24"/>
          <w:szCs w:val="24"/>
          <w:highlight w:val="none"/>
        </w:rPr>
        <w:t>已详细审查全部</w:t>
      </w:r>
      <w:r>
        <w:rPr>
          <w:rFonts w:hint="eastAsia" w:ascii="宋体"/>
          <w:color w:val="auto"/>
          <w:sz w:val="24"/>
          <w:szCs w:val="24"/>
          <w:highlight w:val="none"/>
        </w:rPr>
        <w:t>采购</w:t>
      </w:r>
      <w:r>
        <w:rPr>
          <w:rFonts w:ascii="宋体"/>
          <w:color w:val="auto"/>
          <w:sz w:val="24"/>
          <w:szCs w:val="24"/>
          <w:highlight w:val="none"/>
        </w:rPr>
        <w:t>文件，包括修改文件以及全部参考资料和有关附件。我们完全理解并同意放弃对这方面有不明及误解的权利。</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5、如果在</w:t>
      </w:r>
      <w:r>
        <w:rPr>
          <w:rFonts w:hint="eastAsia" w:ascii="宋体"/>
          <w:color w:val="auto"/>
          <w:sz w:val="24"/>
          <w:szCs w:val="24"/>
          <w:highlight w:val="none"/>
        </w:rPr>
        <w:t>采购响应</w:t>
      </w:r>
      <w:r>
        <w:rPr>
          <w:rFonts w:ascii="宋体"/>
          <w:color w:val="auto"/>
          <w:sz w:val="24"/>
          <w:szCs w:val="24"/>
          <w:highlight w:val="none"/>
        </w:rPr>
        <w:t>文件送达截止时间后，我们撤回</w:t>
      </w:r>
      <w:r>
        <w:rPr>
          <w:rFonts w:hint="eastAsia" w:ascii="宋体"/>
          <w:color w:val="auto"/>
          <w:sz w:val="24"/>
          <w:szCs w:val="24"/>
          <w:highlight w:val="none"/>
        </w:rPr>
        <w:t>报价</w:t>
      </w:r>
      <w:r>
        <w:rPr>
          <w:rFonts w:ascii="宋体"/>
          <w:color w:val="auto"/>
          <w:sz w:val="24"/>
          <w:szCs w:val="24"/>
          <w:highlight w:val="none"/>
        </w:rPr>
        <w:t>，则</w:t>
      </w:r>
      <w:r>
        <w:rPr>
          <w:rFonts w:hint="eastAsia" w:ascii="宋体"/>
          <w:color w:val="auto"/>
          <w:sz w:val="24"/>
          <w:szCs w:val="24"/>
          <w:highlight w:val="none"/>
        </w:rPr>
        <w:t>采购响应</w:t>
      </w:r>
      <w:r>
        <w:rPr>
          <w:rFonts w:ascii="宋体"/>
          <w:color w:val="auto"/>
          <w:sz w:val="24"/>
          <w:szCs w:val="24"/>
          <w:highlight w:val="none"/>
        </w:rPr>
        <w:t>保证金</w:t>
      </w:r>
      <w:r>
        <w:rPr>
          <w:rFonts w:hint="eastAsia" w:ascii="宋体"/>
          <w:color w:val="auto"/>
          <w:sz w:val="24"/>
          <w:szCs w:val="24"/>
          <w:highlight w:val="none"/>
          <w:lang w:eastAsia="zh-CN"/>
        </w:rPr>
        <w:t>（</w:t>
      </w:r>
      <w:r>
        <w:rPr>
          <w:rFonts w:hint="eastAsia" w:ascii="宋体"/>
          <w:color w:val="auto"/>
          <w:sz w:val="24"/>
          <w:szCs w:val="24"/>
          <w:highlight w:val="none"/>
          <w:lang w:val="en-US" w:eastAsia="zh-CN"/>
        </w:rPr>
        <w:t>如有</w:t>
      </w:r>
      <w:r>
        <w:rPr>
          <w:rFonts w:hint="eastAsia" w:ascii="宋体"/>
          <w:color w:val="auto"/>
          <w:sz w:val="24"/>
          <w:szCs w:val="24"/>
          <w:highlight w:val="none"/>
          <w:lang w:eastAsia="zh-CN"/>
        </w:rPr>
        <w:t>）</w:t>
      </w:r>
      <w:r>
        <w:rPr>
          <w:rFonts w:hint="eastAsia" w:ascii="宋体"/>
          <w:color w:val="auto"/>
          <w:sz w:val="24"/>
          <w:szCs w:val="24"/>
          <w:highlight w:val="none"/>
        </w:rPr>
        <w:t>采购</w:t>
      </w:r>
      <w:r>
        <w:rPr>
          <w:rFonts w:ascii="宋体"/>
          <w:color w:val="auto"/>
          <w:sz w:val="24"/>
          <w:szCs w:val="24"/>
          <w:highlight w:val="none"/>
        </w:rPr>
        <w:t>人不予返还。</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6、本</w:t>
      </w:r>
      <w:r>
        <w:rPr>
          <w:rFonts w:hint="eastAsia" w:ascii="宋体"/>
          <w:color w:val="auto"/>
          <w:sz w:val="24"/>
          <w:szCs w:val="24"/>
          <w:highlight w:val="none"/>
        </w:rPr>
        <w:t>供应商</w:t>
      </w:r>
      <w:r>
        <w:rPr>
          <w:rFonts w:ascii="宋体"/>
          <w:color w:val="auto"/>
          <w:sz w:val="24"/>
          <w:szCs w:val="24"/>
          <w:highlight w:val="none"/>
        </w:rPr>
        <w:t>同意提供按照</w:t>
      </w:r>
      <w:r>
        <w:rPr>
          <w:rFonts w:hint="eastAsia" w:ascii="宋体"/>
          <w:color w:val="auto"/>
          <w:sz w:val="24"/>
          <w:szCs w:val="24"/>
          <w:highlight w:val="none"/>
        </w:rPr>
        <w:t>采购方</w:t>
      </w:r>
      <w:r>
        <w:rPr>
          <w:rFonts w:ascii="宋体"/>
          <w:color w:val="auto"/>
          <w:sz w:val="24"/>
          <w:szCs w:val="24"/>
          <w:highlight w:val="none"/>
        </w:rPr>
        <w:t>可能要求的与本</w:t>
      </w:r>
      <w:r>
        <w:rPr>
          <w:rFonts w:hint="eastAsia" w:ascii="宋体"/>
          <w:color w:val="auto"/>
          <w:sz w:val="24"/>
          <w:szCs w:val="24"/>
          <w:highlight w:val="none"/>
        </w:rPr>
        <w:t>采购</w:t>
      </w:r>
      <w:r>
        <w:rPr>
          <w:rFonts w:ascii="宋体"/>
          <w:color w:val="auto"/>
          <w:sz w:val="24"/>
          <w:szCs w:val="24"/>
          <w:highlight w:val="none"/>
        </w:rPr>
        <w:t>有关的一切数据或资料，完全理解</w:t>
      </w:r>
      <w:r>
        <w:rPr>
          <w:rFonts w:hint="eastAsia" w:ascii="宋体"/>
          <w:color w:val="auto"/>
          <w:sz w:val="24"/>
          <w:szCs w:val="24"/>
          <w:highlight w:val="none"/>
        </w:rPr>
        <w:t>采购方</w:t>
      </w:r>
      <w:r>
        <w:rPr>
          <w:rFonts w:ascii="宋体"/>
          <w:color w:val="auto"/>
          <w:sz w:val="24"/>
          <w:szCs w:val="24"/>
          <w:highlight w:val="none"/>
        </w:rPr>
        <w:t>拒绝迟到的任何</w:t>
      </w:r>
      <w:r>
        <w:rPr>
          <w:rFonts w:hint="eastAsia" w:ascii="宋体"/>
          <w:color w:val="auto"/>
          <w:sz w:val="24"/>
          <w:szCs w:val="24"/>
          <w:highlight w:val="none"/>
        </w:rPr>
        <w:t>报价</w:t>
      </w:r>
      <w:r>
        <w:rPr>
          <w:rFonts w:ascii="宋体"/>
          <w:color w:val="auto"/>
          <w:sz w:val="24"/>
          <w:szCs w:val="24"/>
          <w:highlight w:val="none"/>
        </w:rPr>
        <w:t>和最低报价不是被授予合同的唯一条件</w:t>
      </w:r>
      <w:r>
        <w:rPr>
          <w:rFonts w:hint="eastAsia" w:ascii="宋体"/>
          <w:color w:val="auto"/>
          <w:sz w:val="24"/>
          <w:szCs w:val="24"/>
          <w:highlight w:val="none"/>
        </w:rPr>
        <w:t>，并不要求对不成交原因做出解释。</w:t>
      </w:r>
    </w:p>
    <w:p>
      <w:pPr>
        <w:spacing w:line="400" w:lineRule="exact"/>
        <w:ind w:firstLine="480" w:firstLineChars="200"/>
        <w:jc w:val="both"/>
        <w:rPr>
          <w:rFonts w:ascii="宋体"/>
          <w:color w:val="auto"/>
          <w:sz w:val="24"/>
          <w:szCs w:val="24"/>
          <w:highlight w:val="none"/>
        </w:rPr>
      </w:pPr>
    </w:p>
    <w:p>
      <w:pPr>
        <w:spacing w:line="400" w:lineRule="exact"/>
        <w:ind w:firstLine="480" w:firstLineChars="200"/>
        <w:jc w:val="both"/>
        <w:rPr>
          <w:rFonts w:ascii="宋体"/>
          <w:color w:val="auto"/>
          <w:sz w:val="24"/>
          <w:szCs w:val="24"/>
          <w:highlight w:val="none"/>
        </w:rPr>
      </w:pPr>
    </w:p>
    <w:p>
      <w:pPr>
        <w:spacing w:line="400" w:lineRule="exact"/>
        <w:ind w:firstLine="480" w:firstLineChars="200"/>
        <w:jc w:val="both"/>
        <w:rPr>
          <w:rFonts w:ascii="宋体"/>
          <w:color w:val="auto"/>
          <w:sz w:val="24"/>
          <w:szCs w:val="24"/>
          <w:highlight w:val="none"/>
        </w:rPr>
      </w:pPr>
    </w:p>
    <w:p>
      <w:pPr>
        <w:keepNext w:val="0"/>
        <w:keepLines w:val="0"/>
        <w:pageBreakBefore w:val="0"/>
        <w:kinsoku/>
        <w:wordWrap/>
        <w:overflowPunct/>
        <w:topLinePunct w:val="0"/>
        <w:autoSpaceDE/>
        <w:autoSpaceDN/>
        <w:bidi w:val="0"/>
        <w:adjustRightInd/>
        <w:snapToGrid/>
        <w:spacing w:line="720" w:lineRule="exact"/>
        <w:ind w:firstLine="960" w:firstLineChars="400"/>
        <w:jc w:val="both"/>
        <w:textAlignment w:val="auto"/>
        <w:rPr>
          <w:rFonts w:ascii="宋体"/>
          <w:color w:val="auto"/>
          <w:sz w:val="24"/>
          <w:szCs w:val="24"/>
          <w:highlight w:val="none"/>
        </w:rPr>
      </w:pPr>
      <w:r>
        <w:rPr>
          <w:rFonts w:hint="eastAsia" w:ascii="宋体"/>
          <w:color w:val="auto"/>
          <w:sz w:val="24"/>
          <w:szCs w:val="24"/>
          <w:highlight w:val="none"/>
        </w:rPr>
        <w:t>供应商</w:t>
      </w:r>
      <w:r>
        <w:rPr>
          <w:rFonts w:ascii="宋体"/>
          <w:color w:val="auto"/>
          <w:sz w:val="24"/>
          <w:szCs w:val="24"/>
          <w:highlight w:val="none"/>
        </w:rPr>
        <w:t>（盖章）：</w:t>
      </w:r>
      <w:r>
        <w:rPr>
          <w:rFonts w:hint="eastAsia" w:ascii="宋体"/>
          <w:color w:val="auto"/>
          <w:sz w:val="24"/>
          <w:szCs w:val="24"/>
          <w:highlight w:val="none"/>
        </w:rPr>
        <w:t xml:space="preserve">                   </w:t>
      </w:r>
      <w:r>
        <w:rPr>
          <w:rFonts w:ascii="宋体"/>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720" w:lineRule="exact"/>
        <w:ind w:firstLine="960" w:firstLineChars="400"/>
        <w:jc w:val="both"/>
        <w:textAlignment w:val="auto"/>
        <w:rPr>
          <w:rFonts w:ascii="宋体"/>
          <w:color w:val="auto"/>
          <w:sz w:val="24"/>
          <w:szCs w:val="24"/>
          <w:highlight w:val="none"/>
        </w:rPr>
      </w:pPr>
      <w:r>
        <w:rPr>
          <w:rFonts w:ascii="宋体"/>
          <w:color w:val="auto"/>
          <w:sz w:val="24"/>
          <w:szCs w:val="24"/>
          <w:highlight w:val="none"/>
        </w:rPr>
        <w:t>法定代表人签</w:t>
      </w:r>
      <w:r>
        <w:rPr>
          <w:rFonts w:hint="eastAsia" w:ascii="宋体"/>
          <w:color w:val="auto"/>
          <w:sz w:val="24"/>
          <w:szCs w:val="24"/>
          <w:highlight w:val="none"/>
        </w:rPr>
        <w:t>字</w:t>
      </w:r>
      <w:r>
        <w:rPr>
          <w:rFonts w:hint="eastAsia" w:ascii="宋体"/>
          <w:color w:val="auto"/>
          <w:sz w:val="24"/>
          <w:szCs w:val="24"/>
          <w:highlight w:val="none"/>
          <w:lang w:val="en-US" w:eastAsia="zh-CN"/>
        </w:rPr>
        <w:t>或印鉴</w:t>
      </w:r>
      <w:r>
        <w:rPr>
          <w:rFonts w:ascii="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720" w:lineRule="exact"/>
        <w:ind w:firstLine="960" w:firstLineChars="400"/>
        <w:jc w:val="both"/>
        <w:textAlignment w:val="auto"/>
        <w:rPr>
          <w:rFonts w:hint="default" w:ascii="宋体" w:eastAsia="宋体"/>
          <w:color w:val="auto"/>
          <w:sz w:val="24"/>
          <w:szCs w:val="24"/>
          <w:highlight w:val="none"/>
          <w:lang w:val="en-US" w:eastAsia="zh-CN"/>
        </w:rPr>
      </w:pPr>
      <w:r>
        <w:rPr>
          <w:rFonts w:ascii="宋体"/>
          <w:color w:val="auto"/>
          <w:sz w:val="24"/>
          <w:szCs w:val="24"/>
          <w:highlight w:val="none"/>
        </w:rPr>
        <w:t> 日</w:t>
      </w:r>
      <w:r>
        <w:rPr>
          <w:rFonts w:hint="eastAsia" w:ascii="宋体"/>
          <w:color w:val="auto"/>
          <w:sz w:val="24"/>
          <w:szCs w:val="24"/>
          <w:highlight w:val="none"/>
          <w:lang w:val="en-US" w:eastAsia="zh-CN"/>
        </w:rPr>
        <w:t xml:space="preserve">  </w:t>
      </w:r>
      <w:r>
        <w:rPr>
          <w:rFonts w:ascii="宋体"/>
          <w:color w:val="auto"/>
          <w:sz w:val="24"/>
          <w:szCs w:val="24"/>
          <w:highlight w:val="none"/>
        </w:rPr>
        <w:t>期：</w:t>
      </w:r>
      <w:r>
        <w:rPr>
          <w:rFonts w:hint="eastAsia" w:ascii="宋体"/>
          <w:color w:val="auto"/>
          <w:sz w:val="24"/>
          <w:szCs w:val="24"/>
          <w:highlight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720" w:lineRule="exact"/>
        <w:ind w:left="306"/>
        <w:jc w:val="both"/>
        <w:textAlignment w:val="auto"/>
        <w:rPr>
          <w:rFonts w:ascii="宋体"/>
          <w:b/>
          <w:color w:val="auto"/>
          <w:sz w:val="24"/>
          <w:szCs w:val="24"/>
          <w:highlight w:val="none"/>
        </w:rPr>
      </w:pPr>
      <w:bookmarkStart w:id="471" w:name="_Toc267398988"/>
      <w:bookmarkStart w:id="472" w:name="_Toc267389606"/>
      <w:bookmarkStart w:id="473" w:name="_Toc234036500"/>
      <w:bookmarkStart w:id="474" w:name="_Toc69321507"/>
      <w:bookmarkStart w:id="475" w:name="_Toc267398559"/>
      <w:bookmarkStart w:id="476" w:name="_Toc235710542"/>
      <w:bookmarkStart w:id="477" w:name="_Toc286842570"/>
      <w:bookmarkStart w:id="478" w:name="_Toc237354726"/>
      <w:bookmarkStart w:id="479" w:name="_Toc267398721"/>
      <w:r>
        <w:rPr>
          <w:rFonts w:ascii="宋体"/>
          <w:b/>
          <w:color w:val="auto"/>
          <w:sz w:val="24"/>
          <w:szCs w:val="24"/>
          <w:highlight w:val="none"/>
        </w:rPr>
        <w:br w:type="page"/>
      </w:r>
    </w:p>
    <w:p>
      <w:pPr>
        <w:pStyle w:val="6"/>
        <w:rPr>
          <w:rFonts w:hint="eastAsia"/>
          <w:color w:val="auto"/>
          <w:highlight w:val="none"/>
        </w:rPr>
      </w:pPr>
      <w:bookmarkStart w:id="480" w:name="_Toc9942"/>
      <w:bookmarkStart w:id="481" w:name="_Toc10122276"/>
      <w:bookmarkStart w:id="482" w:name="_Toc382509468"/>
      <w:bookmarkStart w:id="483" w:name="_Toc10184885"/>
      <w:bookmarkStart w:id="484" w:name="_Toc484699855"/>
      <w:bookmarkStart w:id="485" w:name="_Toc26632"/>
      <w:bookmarkStart w:id="486" w:name="_Toc512354293"/>
      <w:r>
        <w:rPr>
          <w:rStyle w:val="41"/>
          <w:rFonts w:hint="eastAsia"/>
          <w:b/>
          <w:bCs/>
          <w:color w:val="auto"/>
          <w:sz w:val="28"/>
          <w:szCs w:val="28"/>
          <w:highlight w:val="none"/>
        </w:rPr>
        <w:t>格式二</w:t>
      </w:r>
      <w:bookmarkEnd w:id="480"/>
      <w:r>
        <w:rPr>
          <w:rStyle w:val="41"/>
          <w:rFonts w:hint="eastAsia"/>
          <w:b/>
          <w:bCs/>
          <w:color w:val="auto"/>
          <w:sz w:val="28"/>
          <w:szCs w:val="28"/>
          <w:highlight w:val="none"/>
        </w:rPr>
        <w:t xml:space="preserve">  </w:t>
      </w:r>
      <w:r>
        <w:rPr>
          <w:rFonts w:hint="eastAsia"/>
          <w:color w:val="auto"/>
          <w:highlight w:val="none"/>
        </w:rPr>
        <w:t xml:space="preserve">                         </w:t>
      </w:r>
    </w:p>
    <w:bookmarkEnd w:id="471"/>
    <w:bookmarkEnd w:id="472"/>
    <w:bookmarkEnd w:id="473"/>
    <w:bookmarkEnd w:id="474"/>
    <w:bookmarkEnd w:id="475"/>
    <w:bookmarkEnd w:id="476"/>
    <w:bookmarkEnd w:id="477"/>
    <w:bookmarkEnd w:id="478"/>
    <w:bookmarkEnd w:id="479"/>
    <w:bookmarkEnd w:id="481"/>
    <w:bookmarkEnd w:id="482"/>
    <w:bookmarkEnd w:id="483"/>
    <w:bookmarkEnd w:id="484"/>
    <w:bookmarkEnd w:id="485"/>
    <w:bookmarkEnd w:id="486"/>
    <w:p>
      <w:pPr>
        <w:pStyle w:val="6"/>
        <w:jc w:val="center"/>
        <w:rPr>
          <w:color w:val="auto"/>
          <w:highlight w:val="none"/>
        </w:rPr>
      </w:pPr>
      <w:bookmarkStart w:id="487" w:name="_Toc3979"/>
      <w:r>
        <w:rPr>
          <w:rFonts w:hint="eastAsia"/>
          <w:color w:val="auto"/>
          <w:highlight w:val="none"/>
        </w:rPr>
        <w:t>报价一览表</w:t>
      </w:r>
      <w:bookmarkEnd w:id="487"/>
    </w:p>
    <w:p>
      <w:pPr>
        <w:keepNext w:val="0"/>
        <w:keepLines w:val="0"/>
        <w:pageBreakBefore w:val="0"/>
        <w:widowControl w:val="0"/>
        <w:kinsoku/>
        <w:wordWrap/>
        <w:overflowPunct/>
        <w:topLinePunct w:val="0"/>
        <w:autoSpaceDE/>
        <w:autoSpaceDN/>
        <w:bidi w:val="0"/>
        <w:adjustRightInd/>
        <w:snapToGrid/>
        <w:spacing w:after="157" w:afterLines="50" w:line="400" w:lineRule="exact"/>
        <w:ind w:left="306"/>
        <w:jc w:val="both"/>
        <w:textAlignment w:val="auto"/>
        <w:rPr>
          <w:rFonts w:ascii="宋体"/>
          <w:b/>
          <w:bCs/>
          <w:color w:val="auto"/>
          <w:sz w:val="22"/>
          <w:szCs w:val="22"/>
          <w:highlight w:val="none"/>
        </w:rPr>
      </w:pPr>
      <w:r>
        <w:rPr>
          <w:rFonts w:hint="eastAsia" w:ascii="宋体"/>
          <w:b/>
          <w:bCs/>
          <w:color w:val="auto"/>
          <w:sz w:val="22"/>
          <w:szCs w:val="22"/>
          <w:highlight w:val="none"/>
        </w:rPr>
        <w:t xml:space="preserve">项目名称：                                      </w:t>
      </w:r>
      <w:r>
        <w:rPr>
          <w:rFonts w:hint="eastAsia" w:ascii="宋体"/>
          <w:b/>
          <w:bCs/>
          <w:color w:val="auto"/>
          <w:sz w:val="22"/>
          <w:szCs w:val="22"/>
          <w:highlight w:val="none"/>
          <w:lang w:val="en-US" w:eastAsia="zh-CN"/>
        </w:rPr>
        <w:t xml:space="preserve">       </w:t>
      </w:r>
      <w:r>
        <w:rPr>
          <w:rFonts w:hint="eastAsia" w:ascii="宋体"/>
          <w:b/>
          <w:bCs/>
          <w:color w:val="auto"/>
          <w:sz w:val="22"/>
          <w:szCs w:val="22"/>
          <w:highlight w:val="none"/>
        </w:rPr>
        <w:t xml:space="preserve">  项目编号：</w:t>
      </w:r>
    </w:p>
    <w:tbl>
      <w:tblPr>
        <w:tblStyle w:val="2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41"/>
        <w:gridCol w:w="4842"/>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bookmarkStart w:id="488" w:name="_Toc10184886"/>
            <w:bookmarkStart w:id="489" w:name="_Toc17685"/>
            <w:bookmarkStart w:id="490" w:name="_Toc10122277"/>
            <w:r>
              <w:rPr>
                <w:rFonts w:hint="eastAsia" w:ascii="宋体"/>
                <w:b w:val="0"/>
                <w:bCs/>
                <w:color w:val="auto"/>
                <w:sz w:val="21"/>
                <w:szCs w:val="21"/>
                <w:highlight w:val="none"/>
              </w:rPr>
              <w:t>序号</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分项</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报价内容</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1</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货物名称</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2</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报价总价（小写）</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r>
              <w:rPr>
                <w:rFonts w:hint="eastAsia" w:ascii="宋体"/>
                <w:b w:val="0"/>
                <w:bCs/>
                <w:color w:val="auto"/>
                <w:sz w:val="21"/>
                <w:szCs w:val="21"/>
                <w:highlight w:val="none"/>
              </w:rPr>
              <w:t>￥</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3</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报价总价（大写）</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r>
              <w:rPr>
                <w:rFonts w:hint="eastAsia" w:ascii="宋体"/>
                <w:b w:val="0"/>
                <w:bCs/>
                <w:color w:val="auto"/>
                <w:sz w:val="21"/>
                <w:szCs w:val="21"/>
                <w:highlight w:val="none"/>
              </w:rPr>
              <w:t xml:space="preserve">人民币     </w:t>
            </w:r>
            <w:r>
              <w:rPr>
                <w:rFonts w:hint="eastAsia" w:ascii="宋体"/>
                <w:b w:val="0"/>
                <w:bCs/>
                <w:color w:val="auto"/>
                <w:sz w:val="21"/>
                <w:szCs w:val="21"/>
                <w:highlight w:val="none"/>
                <w:lang w:val="en-US" w:eastAsia="zh-CN"/>
              </w:rPr>
              <w:t xml:space="preserve">                    </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4</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交货期</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3" w:hRule="atLeast"/>
        </w:trPr>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hint="eastAsia" w:ascii="宋体" w:eastAsia="宋体"/>
                <w:b w:val="0"/>
                <w:bCs/>
                <w:color w:val="auto"/>
                <w:sz w:val="21"/>
                <w:szCs w:val="21"/>
                <w:highlight w:val="none"/>
                <w:lang w:val="en-US" w:eastAsia="zh-CN"/>
              </w:rPr>
            </w:pPr>
            <w:r>
              <w:rPr>
                <w:rFonts w:hint="eastAsia" w:ascii="宋体"/>
                <w:b w:val="0"/>
                <w:bCs/>
                <w:color w:val="auto"/>
                <w:sz w:val="21"/>
                <w:szCs w:val="21"/>
                <w:highlight w:val="none"/>
                <w:lang w:val="en-US" w:eastAsia="zh-CN"/>
              </w:rPr>
              <w:t>5</w:t>
            </w:r>
          </w:p>
        </w:tc>
        <w:tc>
          <w:tcPr>
            <w:tcW w:w="1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val="0"/>
                <w:bCs/>
                <w:color w:val="auto"/>
                <w:sz w:val="21"/>
                <w:szCs w:val="21"/>
                <w:highlight w:val="none"/>
              </w:rPr>
            </w:pPr>
            <w:r>
              <w:rPr>
                <w:rFonts w:hint="eastAsia" w:ascii="宋体"/>
                <w:b w:val="0"/>
                <w:bCs/>
                <w:color w:val="auto"/>
                <w:sz w:val="21"/>
                <w:szCs w:val="21"/>
                <w:highlight w:val="none"/>
              </w:rPr>
              <w:t>报价声明</w:t>
            </w:r>
          </w:p>
        </w:tc>
        <w:tc>
          <w:tcPr>
            <w:tcW w:w="4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p>
            <w:pPr>
              <w:adjustRightInd w:val="0"/>
              <w:snapToGrid w:val="0"/>
              <w:spacing w:before="100" w:beforeAutospacing="1" w:after="100" w:afterAutospacing="1"/>
              <w:rPr>
                <w:rFonts w:ascii="宋体"/>
                <w:b w:val="0"/>
                <w:bCs/>
                <w:color w:val="auto"/>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3"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hint="eastAsia" w:ascii="宋体"/>
                <w:b w:val="0"/>
                <w:bCs/>
                <w:color w:val="auto"/>
                <w:sz w:val="21"/>
                <w:szCs w:val="21"/>
                <w:highlight w:val="none"/>
              </w:rPr>
            </w:pPr>
            <w:r>
              <w:rPr>
                <w:rFonts w:hint="eastAsia" w:ascii="宋体"/>
                <w:b w:val="0"/>
                <w:bCs/>
                <w:color w:val="auto"/>
                <w:sz w:val="21"/>
                <w:szCs w:val="21"/>
                <w:highlight w:val="none"/>
              </w:rPr>
              <w:t>授权代表签字</w:t>
            </w:r>
            <w:r>
              <w:rPr>
                <w:rFonts w:hint="eastAsia" w:ascii="宋体"/>
                <w:b w:val="0"/>
                <w:bCs/>
                <w:color w:val="auto"/>
                <w:sz w:val="21"/>
                <w:szCs w:val="21"/>
                <w:highlight w:val="none"/>
                <w:lang w:val="en-US" w:eastAsia="zh-CN"/>
              </w:rPr>
              <w:t>或印鉴</w:t>
            </w:r>
            <w:r>
              <w:rPr>
                <w:rFonts w:hint="eastAsia" w:ascii="宋体"/>
                <w:b w:val="0"/>
                <w:bCs/>
                <w:color w:val="auto"/>
                <w:sz w:val="21"/>
                <w:szCs w:val="21"/>
                <w:highlight w:val="none"/>
              </w:rPr>
              <w:t xml:space="preserve">：                    </w:t>
            </w:r>
          </w:p>
          <w:p>
            <w:pPr>
              <w:adjustRightInd w:val="0"/>
              <w:snapToGrid w:val="0"/>
              <w:spacing w:before="100" w:beforeAutospacing="1" w:after="100" w:afterAutospacing="1"/>
              <w:rPr>
                <w:rFonts w:hint="eastAsia" w:ascii="宋体"/>
                <w:b w:val="0"/>
                <w:bCs/>
                <w:color w:val="auto"/>
                <w:sz w:val="21"/>
                <w:szCs w:val="21"/>
                <w:highlight w:val="none"/>
              </w:rPr>
            </w:pPr>
          </w:p>
          <w:p>
            <w:pPr>
              <w:adjustRightInd w:val="0"/>
              <w:snapToGrid w:val="0"/>
              <w:spacing w:before="100" w:beforeAutospacing="1" w:after="100" w:afterAutospacing="1"/>
              <w:ind w:firstLine="5670" w:firstLineChars="2700"/>
              <w:rPr>
                <w:rFonts w:ascii="宋体"/>
                <w:b w:val="0"/>
                <w:bCs/>
                <w:color w:val="auto"/>
                <w:sz w:val="21"/>
                <w:szCs w:val="21"/>
                <w:highlight w:val="none"/>
              </w:rPr>
            </w:pPr>
            <w:r>
              <w:rPr>
                <w:rFonts w:hint="eastAsia" w:ascii="宋体"/>
                <w:b w:val="0"/>
                <w:bCs/>
                <w:color w:val="auto"/>
                <w:sz w:val="21"/>
                <w:szCs w:val="21"/>
                <w:highlight w:val="none"/>
              </w:rPr>
              <w:t xml:space="preserve">  日期：   </w:t>
            </w:r>
            <w:r>
              <w:rPr>
                <w:rFonts w:hint="eastAsia" w:ascii="宋体"/>
                <w:b w:val="0"/>
                <w:bCs/>
                <w:color w:val="auto"/>
                <w:sz w:val="21"/>
                <w:szCs w:val="21"/>
                <w:highlight w:val="none"/>
                <w:lang w:val="en-US" w:eastAsia="zh-CN"/>
              </w:rPr>
              <w:t xml:space="preserve">    </w:t>
            </w:r>
            <w:r>
              <w:rPr>
                <w:rFonts w:hint="eastAsia" w:ascii="宋体"/>
                <w:b w:val="0"/>
                <w:bCs/>
                <w:color w:val="auto"/>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2"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val="0"/>
                <w:bCs/>
                <w:color w:val="auto"/>
                <w:sz w:val="21"/>
                <w:szCs w:val="21"/>
                <w:highlight w:val="none"/>
              </w:rPr>
            </w:pPr>
            <w:r>
              <w:rPr>
                <w:rFonts w:hint="eastAsia" w:ascii="宋体"/>
                <w:b w:val="0"/>
                <w:bCs/>
                <w:color w:val="auto"/>
                <w:sz w:val="21"/>
                <w:szCs w:val="21"/>
                <w:highlight w:val="none"/>
              </w:rPr>
              <w:t xml:space="preserve">报价单位（盖章）：                 </w:t>
            </w:r>
          </w:p>
          <w:p>
            <w:pPr>
              <w:adjustRightInd w:val="0"/>
              <w:snapToGrid w:val="0"/>
              <w:spacing w:before="100" w:beforeAutospacing="1" w:after="100" w:afterAutospacing="1"/>
              <w:rPr>
                <w:rFonts w:ascii="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1"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20" w:after="20"/>
              <w:rPr>
                <w:rFonts w:ascii="宋体"/>
                <w:b w:val="0"/>
                <w:bCs/>
                <w:color w:val="auto"/>
                <w:sz w:val="21"/>
                <w:szCs w:val="21"/>
                <w:highlight w:val="none"/>
              </w:rPr>
            </w:pPr>
            <w:r>
              <w:rPr>
                <w:rFonts w:hint="eastAsia" w:ascii="宋体"/>
                <w:b w:val="0"/>
                <w:bCs/>
                <w:color w:val="auto"/>
                <w:sz w:val="21"/>
                <w:szCs w:val="21"/>
                <w:highlight w:val="none"/>
              </w:rPr>
              <w:t>备注：</w:t>
            </w:r>
          </w:p>
          <w:p>
            <w:pPr>
              <w:adjustRightInd w:val="0"/>
              <w:snapToGrid w:val="0"/>
              <w:spacing w:before="20" w:after="20"/>
              <w:rPr>
                <w:rFonts w:ascii="宋体"/>
                <w:b w:val="0"/>
                <w:bCs/>
                <w:color w:val="auto"/>
                <w:sz w:val="21"/>
                <w:szCs w:val="21"/>
                <w:highlight w:val="none"/>
              </w:rPr>
            </w:pPr>
            <w:r>
              <w:rPr>
                <w:rFonts w:hint="eastAsia" w:ascii="宋体"/>
                <w:b w:val="0"/>
                <w:bCs/>
                <w:color w:val="auto"/>
                <w:sz w:val="21"/>
                <w:szCs w:val="21"/>
                <w:highlight w:val="none"/>
              </w:rPr>
              <w:t xml:space="preserve">      报价为</w:t>
            </w:r>
            <w:r>
              <w:rPr>
                <w:rFonts w:hint="eastAsia" w:ascii="宋体"/>
                <w:b w:val="0"/>
                <w:bCs/>
                <w:color w:val="auto"/>
                <w:sz w:val="21"/>
                <w:szCs w:val="21"/>
                <w:highlight w:val="none"/>
                <w:u w:val="single"/>
              </w:rPr>
              <w:t>目的地交货含税价格</w:t>
            </w:r>
            <w:r>
              <w:rPr>
                <w:rFonts w:hint="eastAsia" w:ascii="宋体"/>
                <w:b w:val="0"/>
                <w:bCs/>
                <w:color w:val="auto"/>
                <w:sz w:val="21"/>
                <w:szCs w:val="21"/>
                <w:highlight w:val="none"/>
              </w:rPr>
              <w:t>；</w:t>
            </w:r>
          </w:p>
          <w:p>
            <w:pPr>
              <w:adjustRightInd w:val="0"/>
              <w:snapToGrid w:val="0"/>
              <w:spacing w:before="20" w:after="20"/>
              <w:ind w:firstLine="630" w:firstLineChars="300"/>
              <w:rPr>
                <w:rFonts w:ascii="宋体"/>
                <w:b w:val="0"/>
                <w:bCs/>
                <w:color w:val="auto"/>
                <w:sz w:val="21"/>
                <w:szCs w:val="21"/>
                <w:highlight w:val="none"/>
              </w:rPr>
            </w:pPr>
          </w:p>
        </w:tc>
      </w:tr>
    </w:tbl>
    <w:p>
      <w:pPr>
        <w:tabs>
          <w:tab w:val="center" w:pos="4535"/>
          <w:tab w:val="left" w:pos="5840"/>
        </w:tabs>
        <w:spacing w:line="360" w:lineRule="auto"/>
        <w:jc w:val="both"/>
        <w:rPr>
          <w:rStyle w:val="41"/>
          <w:color w:val="auto"/>
          <w:highlight w:val="none"/>
        </w:rPr>
        <w:sectPr>
          <w:pgSz w:w="11907" w:h="16840"/>
          <w:pgMar w:top="1418" w:right="1275" w:bottom="1418" w:left="1531" w:header="1021" w:footer="907" w:gutter="0"/>
          <w:pgNumType w:fmt="decimal" w:start="1"/>
          <w:cols w:space="720" w:num="1"/>
          <w:docGrid w:linePitch="312" w:charSpace="0"/>
        </w:sectPr>
      </w:pPr>
    </w:p>
    <w:p>
      <w:pPr>
        <w:pStyle w:val="12"/>
      </w:pPr>
    </w:p>
    <w:p>
      <w:pPr>
        <w:tabs>
          <w:tab w:val="center" w:pos="4535"/>
          <w:tab w:val="left" w:pos="5840"/>
        </w:tabs>
        <w:spacing w:line="360" w:lineRule="auto"/>
        <w:ind w:firstLine="281" w:firstLineChars="100"/>
        <w:jc w:val="both"/>
        <w:outlineLvl w:val="1"/>
        <w:rPr>
          <w:rStyle w:val="41"/>
          <w:rFonts w:hint="eastAsia"/>
          <w:color w:val="auto"/>
          <w:highlight w:val="none"/>
        </w:rPr>
      </w:pPr>
      <w:bookmarkStart w:id="491" w:name="_Toc5762"/>
      <w:r>
        <w:rPr>
          <w:rStyle w:val="41"/>
          <w:rFonts w:hint="eastAsia"/>
          <w:color w:val="auto"/>
          <w:sz w:val="28"/>
          <w:szCs w:val="28"/>
          <w:highlight w:val="none"/>
        </w:rPr>
        <w:t>格式三</w:t>
      </w:r>
      <w:bookmarkEnd w:id="491"/>
      <w:r>
        <w:rPr>
          <w:rStyle w:val="41"/>
          <w:rFonts w:hint="eastAsia"/>
          <w:color w:val="auto"/>
          <w:sz w:val="28"/>
          <w:szCs w:val="28"/>
          <w:highlight w:val="none"/>
        </w:rPr>
        <w:t xml:space="preserve">  </w:t>
      </w:r>
      <w:r>
        <w:rPr>
          <w:rStyle w:val="41"/>
          <w:rFonts w:hint="eastAsia"/>
          <w:color w:val="auto"/>
          <w:highlight w:val="none"/>
        </w:rPr>
        <w:t xml:space="preserve">                         </w:t>
      </w:r>
    </w:p>
    <w:p>
      <w:pPr>
        <w:tabs>
          <w:tab w:val="center" w:pos="4535"/>
          <w:tab w:val="left" w:pos="5840"/>
        </w:tabs>
        <w:spacing w:line="360" w:lineRule="auto"/>
        <w:jc w:val="center"/>
        <w:outlineLvl w:val="1"/>
        <w:rPr>
          <w:rStyle w:val="41"/>
          <w:color w:val="auto"/>
          <w:highlight w:val="none"/>
        </w:rPr>
      </w:pPr>
      <w:bookmarkStart w:id="492" w:name="_Toc24458"/>
      <w:r>
        <w:rPr>
          <w:rStyle w:val="41"/>
          <w:rFonts w:hint="eastAsia"/>
          <w:color w:val="auto"/>
          <w:highlight w:val="none"/>
        </w:rPr>
        <w:t>分项报价表</w:t>
      </w:r>
      <w:bookmarkEnd w:id="492"/>
    </w:p>
    <w:p>
      <w:pPr>
        <w:keepNext w:val="0"/>
        <w:keepLines w:val="0"/>
        <w:pageBreakBefore w:val="0"/>
        <w:widowControl/>
        <w:kinsoku/>
        <w:wordWrap/>
        <w:overflowPunct/>
        <w:topLinePunct w:val="0"/>
        <w:autoSpaceDE/>
        <w:autoSpaceDN/>
        <w:bidi w:val="0"/>
        <w:adjustRightInd/>
        <w:snapToGrid/>
        <w:textAlignment w:val="auto"/>
        <w:rPr>
          <w:rFonts w:ascii="宋体"/>
          <w:b/>
          <w:color w:val="auto"/>
          <w:sz w:val="24"/>
          <w:highlight w:val="none"/>
        </w:rPr>
      </w:pPr>
      <w:r>
        <w:rPr>
          <w:rFonts w:hint="eastAsia" w:ascii="宋体"/>
          <w:b/>
          <w:color w:val="auto"/>
          <w:sz w:val="24"/>
          <w:highlight w:val="none"/>
          <w:lang w:eastAsia="zh-CN"/>
        </w:rPr>
        <w:t>供应商</w:t>
      </w:r>
      <w:r>
        <w:rPr>
          <w:rFonts w:hint="eastAsia" w:ascii="宋体"/>
          <w:b/>
          <w:color w:val="auto"/>
          <w:sz w:val="24"/>
          <w:highlight w:val="none"/>
        </w:rPr>
        <w:t>名称</w:t>
      </w:r>
      <w:r>
        <w:rPr>
          <w:rFonts w:hint="eastAsia" w:ascii="宋体"/>
          <w:b/>
          <w:color w:val="auto"/>
          <w:sz w:val="24"/>
          <w:highlight w:val="none"/>
          <w:lang w:eastAsia="zh-CN"/>
        </w:rPr>
        <w:t>（</w:t>
      </w:r>
      <w:r>
        <w:rPr>
          <w:rFonts w:hint="eastAsia" w:ascii="宋体"/>
          <w:b/>
          <w:color w:val="auto"/>
          <w:sz w:val="24"/>
          <w:highlight w:val="none"/>
          <w:lang w:val="en-US" w:eastAsia="zh-CN"/>
        </w:rPr>
        <w:t>盖章</w:t>
      </w:r>
      <w:r>
        <w:rPr>
          <w:rFonts w:hint="eastAsia" w:ascii="宋体"/>
          <w:b/>
          <w:color w:val="auto"/>
          <w:sz w:val="24"/>
          <w:highlight w:val="none"/>
          <w:lang w:eastAsia="zh-CN"/>
        </w:rPr>
        <w:t>）</w:t>
      </w:r>
      <w:r>
        <w:rPr>
          <w:rFonts w:hint="eastAsia" w:ascii="宋体"/>
          <w:b/>
          <w:color w:val="auto"/>
          <w:sz w:val="24"/>
          <w:highlight w:val="none"/>
        </w:rPr>
        <w:t xml:space="preserve">：          </w:t>
      </w:r>
      <w:r>
        <w:rPr>
          <w:rFonts w:hint="eastAsia" w:ascii="宋体"/>
          <w:b/>
          <w:color w:val="auto"/>
          <w:sz w:val="24"/>
          <w:highlight w:val="none"/>
          <w:lang w:val="en-US" w:eastAsia="zh-CN"/>
        </w:rPr>
        <w:t xml:space="preserve">                                 </w:t>
      </w:r>
      <w:r>
        <w:rPr>
          <w:rFonts w:hint="eastAsia" w:ascii="宋体"/>
          <w:b/>
          <w:color w:val="auto"/>
          <w:sz w:val="24"/>
          <w:highlight w:val="none"/>
        </w:rPr>
        <w:t xml:space="preserve"> </w:t>
      </w:r>
      <w:r>
        <w:rPr>
          <w:rFonts w:hint="eastAsia" w:ascii="宋体"/>
          <w:b/>
          <w:color w:val="auto"/>
          <w:sz w:val="24"/>
          <w:highlight w:val="none"/>
          <w:lang w:val="en-US" w:eastAsia="zh-CN"/>
        </w:rPr>
        <w:t xml:space="preserve">                      </w:t>
      </w:r>
      <w:r>
        <w:rPr>
          <w:rFonts w:hint="eastAsia" w:ascii="宋体"/>
          <w:b/>
          <w:color w:val="auto"/>
          <w:sz w:val="24"/>
          <w:highlight w:val="none"/>
        </w:rPr>
        <w:t xml:space="preserve"> 采购编号：                    </w:t>
      </w:r>
    </w:p>
    <w:tbl>
      <w:tblPr>
        <w:tblStyle w:val="28"/>
        <w:tblpPr w:leftFromText="180" w:rightFromText="180" w:vertAnchor="text" w:horzAnchor="page" w:tblpX="1400" w:tblpY="381"/>
        <w:tblOverlap w:val="never"/>
        <w:tblW w:w="1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95"/>
        <w:gridCol w:w="1596"/>
        <w:gridCol w:w="636"/>
        <w:gridCol w:w="924"/>
        <w:gridCol w:w="924"/>
        <w:gridCol w:w="948"/>
        <w:gridCol w:w="1236"/>
        <w:gridCol w:w="1140"/>
        <w:gridCol w:w="162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b/>
                <w:color w:val="auto"/>
                <w:szCs w:val="21"/>
                <w:highlight w:val="none"/>
              </w:rPr>
            </w:pPr>
            <w:r>
              <w:rPr>
                <w:rFonts w:hint="eastAsia" w:ascii="宋体"/>
                <w:b/>
                <w:color w:val="auto"/>
                <w:szCs w:val="21"/>
                <w:highlight w:val="none"/>
              </w:rPr>
              <w:t>序号</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货物名称</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规格型号</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单位</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数量</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单重（KG）</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总重（KG）</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单价(元)</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总价(元)</w:t>
            </w: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制造厂（品牌）</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1</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2</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3</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4</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2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auto"/>
                <w:szCs w:val="21"/>
                <w:highlight w:val="none"/>
              </w:rPr>
            </w:pPr>
            <w:r>
              <w:rPr>
                <w:rFonts w:hint="eastAsia" w:ascii="宋体"/>
                <w:color w:val="auto"/>
                <w:szCs w:val="21"/>
                <w:highlight w:val="none"/>
              </w:rPr>
              <w:t>…</w:t>
            </w:r>
          </w:p>
        </w:tc>
        <w:tc>
          <w:tcPr>
            <w:tcW w:w="2695" w:type="dxa"/>
            <w:tcBorders>
              <w:top w:val="single" w:color="auto" w:sz="4" w:space="0"/>
              <w:left w:val="single" w:color="auto" w:sz="8" w:space="0"/>
              <w:bottom w:val="single" w:color="auto" w:sz="4" w:space="0"/>
              <w:right w:val="single" w:color="auto" w:sz="4" w:space="0"/>
            </w:tcBorders>
            <w:vAlign w:val="center"/>
          </w:tcPr>
          <w:p>
            <w:pPr>
              <w:jc w:val="center"/>
              <w:rPr>
                <w:rFonts w:ascii="宋体"/>
                <w:color w:val="auto"/>
                <w:szCs w:val="21"/>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35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b/>
                <w:color w:val="auto"/>
                <w:sz w:val="24"/>
                <w:highlight w:val="none"/>
              </w:rPr>
              <w:t>总计</w:t>
            </w:r>
          </w:p>
        </w:tc>
        <w:tc>
          <w:tcPr>
            <w:tcW w:w="1023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trPr>
        <w:tc>
          <w:tcPr>
            <w:tcW w:w="35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color w:val="auto"/>
                <w:sz w:val="24"/>
                <w:highlight w:val="none"/>
              </w:rPr>
              <w:t>税率</w:t>
            </w:r>
            <w:r>
              <w:rPr>
                <w:rFonts w:hint="eastAsia" w:ascii="宋体"/>
                <w:color w:val="auto"/>
                <w:szCs w:val="21"/>
                <w:highlight w:val="none"/>
              </w:rPr>
              <w:t>（</w:t>
            </w:r>
            <w:r>
              <w:rPr>
                <w:rFonts w:hint="eastAsia" w:ascii="宋体"/>
                <w:b/>
                <w:color w:val="auto"/>
                <w:szCs w:val="21"/>
                <w:highlight w:val="none"/>
                <w:u w:val="single"/>
              </w:rPr>
              <w:t>计入总价</w:t>
            </w:r>
            <w:r>
              <w:rPr>
                <w:rFonts w:hint="eastAsia" w:ascii="宋体"/>
                <w:color w:val="auto"/>
                <w:szCs w:val="21"/>
                <w:highlight w:val="none"/>
              </w:rPr>
              <w:t>）</w:t>
            </w:r>
          </w:p>
        </w:tc>
        <w:tc>
          <w:tcPr>
            <w:tcW w:w="1023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highlight w:val="none"/>
              </w:rPr>
            </w:pPr>
            <w:r>
              <w:rPr>
                <w:rFonts w:hint="eastAsia" w:ascii="宋体"/>
                <w:color w:val="auto"/>
                <w:sz w:val="24"/>
                <w:highlight w:val="none"/>
              </w:rPr>
              <w:t>13%</w:t>
            </w:r>
          </w:p>
        </w:tc>
      </w:tr>
    </w:tbl>
    <w:p>
      <w:pPr>
        <w:keepNext w:val="0"/>
        <w:keepLines w:val="0"/>
        <w:pageBreakBefore w:val="0"/>
        <w:widowControl/>
        <w:kinsoku/>
        <w:wordWrap/>
        <w:overflowPunct/>
        <w:topLinePunct w:val="0"/>
        <w:autoSpaceDE/>
        <w:autoSpaceDN/>
        <w:bidi w:val="0"/>
        <w:adjustRightInd/>
        <w:snapToGrid/>
        <w:spacing w:before="469" w:beforeLines="150" w:beforeAutospacing="0" w:after="100" w:afterAutospacing="1" w:line="360" w:lineRule="auto"/>
        <w:ind w:firstLine="1200" w:firstLineChars="500"/>
        <w:textAlignment w:val="auto"/>
        <w:rPr>
          <w:rFonts w:hint="eastAsia" w:ascii="宋体" w:hAnsi="Times New Roman" w:cs="Times New Roman"/>
          <w:color w:val="auto"/>
          <w:sz w:val="24"/>
          <w:szCs w:val="22"/>
          <w:highlight w:val="none"/>
        </w:rPr>
        <w:sectPr>
          <w:pgSz w:w="16840" w:h="11907" w:orient="landscape"/>
          <w:pgMar w:top="1531" w:right="1418" w:bottom="1275" w:left="1418" w:header="1021" w:footer="907" w:gutter="0"/>
          <w:pgNumType w:fmt="decimal" w:start="1"/>
          <w:cols w:space="720" w:num="1"/>
          <w:docGrid w:linePitch="312" w:charSpace="0"/>
        </w:sectPr>
      </w:pPr>
      <w:r>
        <w:rPr>
          <w:rFonts w:hint="eastAsia" w:ascii="宋体" w:hAnsi="Times New Roman" w:cs="Times New Roman"/>
          <w:color w:val="auto"/>
          <w:sz w:val="24"/>
          <w:szCs w:val="22"/>
          <w:highlight w:val="none"/>
        </w:rPr>
        <w:t>授权代表签字</w:t>
      </w:r>
      <w:r>
        <w:rPr>
          <w:rFonts w:hint="eastAsia" w:ascii="宋体" w:hAnsi="Times New Roman" w:cs="Times New Roman"/>
          <w:color w:val="auto"/>
          <w:sz w:val="24"/>
          <w:szCs w:val="22"/>
          <w:highlight w:val="none"/>
          <w:lang w:val="en-US" w:eastAsia="zh-CN"/>
        </w:rPr>
        <w:t>或印鉴</w:t>
      </w:r>
      <w:r>
        <w:rPr>
          <w:rFonts w:hint="eastAsia" w:ascii="宋体" w:hAnsi="Times New Roman" w:cs="Times New Roman"/>
          <w:color w:val="auto"/>
          <w:sz w:val="24"/>
          <w:szCs w:val="22"/>
          <w:highlight w:val="none"/>
        </w:rPr>
        <w:t xml:space="preserve">：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日期：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年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月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 日</w:t>
      </w:r>
    </w:p>
    <w:p>
      <w:pPr>
        <w:pStyle w:val="4"/>
        <w:rPr>
          <w:rStyle w:val="41"/>
          <w:color w:val="auto"/>
          <w:highlight w:val="none"/>
        </w:rPr>
      </w:pPr>
    </w:p>
    <w:bookmarkEnd w:id="488"/>
    <w:bookmarkEnd w:id="489"/>
    <w:bookmarkEnd w:id="490"/>
    <w:p>
      <w:pPr>
        <w:tabs>
          <w:tab w:val="center" w:pos="4535"/>
          <w:tab w:val="left" w:pos="5840"/>
        </w:tabs>
        <w:spacing w:line="360" w:lineRule="auto"/>
        <w:jc w:val="both"/>
        <w:outlineLvl w:val="1"/>
        <w:rPr>
          <w:rStyle w:val="41"/>
          <w:rFonts w:hint="eastAsia"/>
          <w:color w:val="auto"/>
          <w:highlight w:val="none"/>
        </w:rPr>
      </w:pPr>
      <w:bookmarkStart w:id="493" w:name="_Toc18203"/>
      <w:bookmarkStart w:id="494" w:name="_Toc26786"/>
      <w:bookmarkStart w:id="495" w:name="_Toc10122278"/>
      <w:bookmarkStart w:id="496" w:name="_Toc10184887"/>
      <w:r>
        <w:rPr>
          <w:rStyle w:val="41"/>
          <w:rFonts w:hint="eastAsia"/>
          <w:color w:val="auto"/>
          <w:sz w:val="28"/>
          <w:szCs w:val="28"/>
          <w:highlight w:val="none"/>
        </w:rPr>
        <w:t>格式四</w:t>
      </w:r>
      <w:bookmarkEnd w:id="493"/>
      <w:r>
        <w:rPr>
          <w:rStyle w:val="41"/>
          <w:rFonts w:hint="eastAsia"/>
          <w:color w:val="auto"/>
          <w:sz w:val="28"/>
          <w:szCs w:val="28"/>
          <w:highlight w:val="none"/>
        </w:rPr>
        <w:t xml:space="preserve">     </w:t>
      </w:r>
      <w:r>
        <w:rPr>
          <w:rStyle w:val="41"/>
          <w:rFonts w:hint="eastAsia"/>
          <w:color w:val="auto"/>
          <w:highlight w:val="none"/>
        </w:rPr>
        <w:t xml:space="preserve">                       </w:t>
      </w:r>
    </w:p>
    <w:p>
      <w:pPr>
        <w:tabs>
          <w:tab w:val="center" w:pos="4535"/>
          <w:tab w:val="left" w:pos="5840"/>
        </w:tabs>
        <w:spacing w:line="360" w:lineRule="auto"/>
        <w:jc w:val="center"/>
        <w:outlineLvl w:val="1"/>
        <w:rPr>
          <w:rFonts w:ascii="宋体" w:cs="宋体"/>
          <w:b/>
          <w:bCs/>
          <w:color w:val="auto"/>
          <w:sz w:val="30"/>
          <w:szCs w:val="30"/>
          <w:highlight w:val="none"/>
        </w:rPr>
      </w:pPr>
      <w:bookmarkStart w:id="497" w:name="_Toc29466"/>
      <w:r>
        <w:rPr>
          <w:rStyle w:val="41"/>
          <w:rFonts w:hint="eastAsia"/>
          <w:color w:val="auto"/>
          <w:highlight w:val="none"/>
        </w:rPr>
        <w:t>供应商基本情况表</w:t>
      </w:r>
      <w:bookmarkEnd w:id="497"/>
    </w:p>
    <w:tbl>
      <w:tblPr>
        <w:tblStyle w:val="28"/>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377"/>
        <w:gridCol w:w="503"/>
        <w:gridCol w:w="847"/>
        <w:gridCol w:w="264"/>
        <w:gridCol w:w="276"/>
        <w:gridCol w:w="456"/>
        <w:gridCol w:w="444"/>
        <w:gridCol w:w="203"/>
        <w:gridCol w:w="207"/>
        <w:gridCol w:w="1210"/>
        <w:gridCol w:w="216"/>
        <w:gridCol w:w="317"/>
        <w:gridCol w:w="727"/>
        <w:gridCol w:w="36"/>
        <w:gridCol w:w="641"/>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单位全称</w:t>
            </w:r>
          </w:p>
        </w:tc>
        <w:tc>
          <w:tcPr>
            <w:tcW w:w="8063" w:type="dxa"/>
            <w:gridSpan w:val="16"/>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营业执</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照号码</w:t>
            </w:r>
          </w:p>
        </w:tc>
        <w:tc>
          <w:tcPr>
            <w:tcW w:w="2267" w:type="dxa"/>
            <w:gridSpan w:val="5"/>
            <w:vAlign w:val="center"/>
          </w:tcPr>
          <w:p>
            <w:pPr>
              <w:jc w:val="center"/>
              <w:rPr>
                <w:rFonts w:ascii="宋体" w:cs="宋体"/>
                <w:color w:val="auto"/>
                <w:sz w:val="21"/>
                <w:szCs w:val="21"/>
                <w:highlight w:val="none"/>
              </w:rPr>
            </w:pPr>
          </w:p>
        </w:tc>
        <w:tc>
          <w:tcPr>
            <w:tcW w:w="1103"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税务登</w:t>
            </w:r>
          </w:p>
          <w:p>
            <w:pPr>
              <w:jc w:val="center"/>
              <w:rPr>
                <w:rFonts w:ascii="宋体" w:cs="宋体"/>
                <w:color w:val="auto"/>
                <w:sz w:val="21"/>
                <w:szCs w:val="21"/>
                <w:highlight w:val="none"/>
              </w:rPr>
            </w:pPr>
            <w:r>
              <w:rPr>
                <w:rFonts w:hint="eastAsia" w:ascii="宋体" w:cs="宋体"/>
                <w:color w:val="auto"/>
                <w:sz w:val="21"/>
                <w:szCs w:val="21"/>
                <w:highlight w:val="none"/>
              </w:rPr>
              <w:t>记号码</w:t>
            </w:r>
          </w:p>
        </w:tc>
        <w:tc>
          <w:tcPr>
            <w:tcW w:w="1633" w:type="dxa"/>
            <w:gridSpan w:val="3"/>
            <w:vAlign w:val="center"/>
          </w:tcPr>
          <w:p>
            <w:pPr>
              <w:jc w:val="center"/>
              <w:rPr>
                <w:rFonts w:ascii="宋体" w:cs="宋体"/>
                <w:color w:val="auto"/>
                <w:sz w:val="21"/>
                <w:szCs w:val="21"/>
                <w:highlight w:val="none"/>
              </w:rPr>
            </w:pPr>
          </w:p>
        </w:tc>
        <w:tc>
          <w:tcPr>
            <w:tcW w:w="1080"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单位法</w:t>
            </w:r>
          </w:p>
          <w:p>
            <w:pPr>
              <w:jc w:val="center"/>
              <w:rPr>
                <w:rFonts w:ascii="宋体" w:cs="宋体"/>
                <w:color w:val="auto"/>
                <w:sz w:val="21"/>
                <w:szCs w:val="21"/>
                <w:highlight w:val="none"/>
              </w:rPr>
            </w:pPr>
            <w:r>
              <w:rPr>
                <w:rFonts w:hint="eastAsia" w:ascii="宋体" w:cs="宋体"/>
                <w:color w:val="auto"/>
                <w:sz w:val="21"/>
                <w:szCs w:val="21"/>
                <w:highlight w:val="none"/>
              </w:rPr>
              <w:t>人代码</w:t>
            </w:r>
          </w:p>
        </w:tc>
        <w:tc>
          <w:tcPr>
            <w:tcW w:w="1980" w:type="dxa"/>
            <w:gridSpan w:val="2"/>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地址</w:t>
            </w:r>
          </w:p>
        </w:tc>
        <w:tc>
          <w:tcPr>
            <w:tcW w:w="5003" w:type="dxa"/>
            <w:gridSpan w:val="11"/>
            <w:vAlign w:val="center"/>
          </w:tcPr>
          <w:p>
            <w:pPr>
              <w:jc w:val="center"/>
              <w:rPr>
                <w:rFonts w:ascii="宋体" w:cs="宋体"/>
                <w:color w:val="auto"/>
                <w:sz w:val="21"/>
                <w:szCs w:val="21"/>
                <w:highlight w:val="none"/>
              </w:rPr>
            </w:pPr>
          </w:p>
        </w:tc>
        <w:tc>
          <w:tcPr>
            <w:tcW w:w="1080"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邮编</w:t>
            </w:r>
          </w:p>
        </w:tc>
        <w:tc>
          <w:tcPr>
            <w:tcW w:w="1980" w:type="dxa"/>
            <w:gridSpan w:val="2"/>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电话</w:t>
            </w:r>
          </w:p>
        </w:tc>
        <w:tc>
          <w:tcPr>
            <w:tcW w:w="2723" w:type="dxa"/>
            <w:gridSpan w:val="6"/>
            <w:vAlign w:val="center"/>
          </w:tcPr>
          <w:p>
            <w:pPr>
              <w:jc w:val="center"/>
              <w:rPr>
                <w:rFonts w:ascii="宋体" w:cs="宋体"/>
                <w:color w:val="auto"/>
                <w:sz w:val="21"/>
                <w:szCs w:val="21"/>
                <w:highlight w:val="none"/>
              </w:rPr>
            </w:pPr>
          </w:p>
        </w:tc>
        <w:tc>
          <w:tcPr>
            <w:tcW w:w="2280" w:type="dxa"/>
            <w:gridSpan w:val="5"/>
            <w:vAlign w:val="center"/>
          </w:tcPr>
          <w:p>
            <w:pPr>
              <w:jc w:val="center"/>
              <w:rPr>
                <w:rFonts w:ascii="宋体" w:cs="宋体"/>
                <w:color w:val="auto"/>
                <w:sz w:val="21"/>
                <w:szCs w:val="21"/>
                <w:highlight w:val="none"/>
              </w:rPr>
            </w:pPr>
            <w:r>
              <w:rPr>
                <w:rFonts w:hint="eastAsia" w:ascii="宋体" w:cs="宋体"/>
                <w:color w:val="auto"/>
                <w:sz w:val="21"/>
                <w:szCs w:val="21"/>
                <w:highlight w:val="none"/>
              </w:rPr>
              <w:t>传真</w:t>
            </w:r>
          </w:p>
        </w:tc>
        <w:tc>
          <w:tcPr>
            <w:tcW w:w="3060" w:type="dxa"/>
            <w:gridSpan w:val="5"/>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法定</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代表人</w:t>
            </w:r>
          </w:p>
        </w:tc>
        <w:tc>
          <w:tcPr>
            <w:tcW w:w="2723" w:type="dxa"/>
            <w:gridSpan w:val="6"/>
            <w:vAlign w:val="center"/>
          </w:tcPr>
          <w:p>
            <w:pPr>
              <w:jc w:val="center"/>
              <w:rPr>
                <w:rFonts w:ascii="宋体" w:cs="宋体"/>
                <w:color w:val="auto"/>
                <w:sz w:val="21"/>
                <w:szCs w:val="21"/>
                <w:highlight w:val="none"/>
              </w:rPr>
            </w:pPr>
          </w:p>
        </w:tc>
        <w:tc>
          <w:tcPr>
            <w:tcW w:w="2280" w:type="dxa"/>
            <w:gridSpan w:val="5"/>
            <w:vAlign w:val="center"/>
          </w:tcPr>
          <w:p>
            <w:pPr>
              <w:ind w:firstLine="630" w:firstLineChars="300"/>
              <w:jc w:val="center"/>
              <w:rPr>
                <w:rFonts w:ascii="宋体" w:cs="宋体"/>
                <w:color w:val="auto"/>
                <w:sz w:val="21"/>
                <w:szCs w:val="21"/>
                <w:highlight w:val="none"/>
              </w:rPr>
            </w:pPr>
            <w:r>
              <w:rPr>
                <w:rFonts w:hint="eastAsia" w:ascii="宋体" w:cs="宋体"/>
                <w:color w:val="auto"/>
                <w:sz w:val="21"/>
                <w:szCs w:val="21"/>
                <w:highlight w:val="none"/>
              </w:rPr>
              <w:t>建筑面积</w:t>
            </w:r>
          </w:p>
        </w:tc>
        <w:tc>
          <w:tcPr>
            <w:tcW w:w="3060" w:type="dxa"/>
            <w:gridSpan w:val="5"/>
            <w:vAlign w:val="center"/>
          </w:tcPr>
          <w:p>
            <w:pPr>
              <w:ind w:firstLine="1470" w:firstLineChars="700"/>
              <w:jc w:val="center"/>
              <w:rPr>
                <w:rFonts w:ascii="宋体" w:cs="宋体"/>
                <w:color w:val="auto"/>
                <w:sz w:val="21"/>
                <w:szCs w:val="21"/>
                <w:highlight w:val="none"/>
              </w:rPr>
            </w:pPr>
            <w:r>
              <w:rPr>
                <w:rFonts w:hint="eastAsia" w:ascii="宋体" w:cs="宋体"/>
                <w:color w:val="auto"/>
                <w:sz w:val="21"/>
                <w:szCs w:val="21"/>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261"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注册资本</w:t>
            </w:r>
          </w:p>
        </w:tc>
        <w:tc>
          <w:tcPr>
            <w:tcW w:w="8063" w:type="dxa"/>
            <w:gridSpan w:val="16"/>
            <w:vAlign w:val="center"/>
          </w:tcPr>
          <w:p>
            <w:pPr>
              <w:jc w:val="center"/>
              <w:rPr>
                <w:rFonts w:ascii="宋体" w:cs="宋体"/>
                <w:color w:val="auto"/>
                <w:sz w:val="21"/>
                <w:szCs w:val="21"/>
                <w:highlight w:val="none"/>
              </w:rPr>
            </w:pPr>
            <w:r>
              <w:rPr>
                <w:rFonts w:hint="eastAsia" w:ascii="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261" w:type="dxa"/>
            <w:vMerge w:val="restart"/>
            <w:vAlign w:val="center"/>
          </w:tcPr>
          <w:p>
            <w:pPr>
              <w:jc w:val="center"/>
              <w:rPr>
                <w:rFonts w:ascii="宋体" w:cs="宋体"/>
                <w:color w:val="auto"/>
                <w:sz w:val="21"/>
                <w:szCs w:val="21"/>
                <w:highlight w:val="none"/>
              </w:rPr>
            </w:pPr>
            <w:r>
              <w:rPr>
                <w:rFonts w:hint="eastAsia" w:ascii="宋体" w:cs="宋体"/>
                <w:color w:val="auto"/>
                <w:sz w:val="21"/>
                <w:szCs w:val="21"/>
                <w:highlight w:val="none"/>
              </w:rPr>
              <w:t>经营范围</w:t>
            </w:r>
          </w:p>
        </w:tc>
        <w:tc>
          <w:tcPr>
            <w:tcW w:w="1727"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主  营</w:t>
            </w:r>
          </w:p>
        </w:tc>
        <w:tc>
          <w:tcPr>
            <w:tcW w:w="6336" w:type="dxa"/>
            <w:gridSpan w:val="13"/>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261" w:type="dxa"/>
            <w:vMerge w:val="continue"/>
            <w:vAlign w:val="center"/>
          </w:tcPr>
          <w:p>
            <w:pPr>
              <w:rPr>
                <w:rFonts w:hint="eastAsia" w:eastAsia="宋体"/>
                <w:color w:val="auto"/>
                <w:sz w:val="21"/>
                <w:szCs w:val="21"/>
                <w:highlight w:val="none"/>
                <w:lang w:eastAsia="zh-CN"/>
              </w:rPr>
            </w:pPr>
            <w:r>
              <w:rPr>
                <w:rFonts w:hint="eastAsia"/>
                <w:color w:val="auto"/>
                <w:sz w:val="21"/>
                <w:szCs w:val="21"/>
                <w:highlight w:val="none"/>
                <w:lang w:eastAsia="zh-CN"/>
              </w:rPr>
              <w:t xml:space="preserve"> </w:t>
            </w:r>
          </w:p>
        </w:tc>
        <w:tc>
          <w:tcPr>
            <w:tcW w:w="1727"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兼  营</w:t>
            </w:r>
          </w:p>
        </w:tc>
        <w:tc>
          <w:tcPr>
            <w:tcW w:w="6336" w:type="dxa"/>
            <w:gridSpan w:val="13"/>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vMerge w:val="restart"/>
            <w:vAlign w:val="center"/>
          </w:tcPr>
          <w:p>
            <w:pPr>
              <w:jc w:val="center"/>
              <w:rPr>
                <w:rFonts w:ascii="宋体" w:cs="宋体"/>
                <w:color w:val="auto"/>
                <w:sz w:val="21"/>
                <w:szCs w:val="21"/>
                <w:highlight w:val="none"/>
              </w:rPr>
            </w:pPr>
            <w:r>
              <w:rPr>
                <w:rFonts w:hint="eastAsia" w:ascii="宋体" w:cs="宋体"/>
                <w:color w:val="auto"/>
                <w:sz w:val="21"/>
                <w:szCs w:val="21"/>
                <w:highlight w:val="none"/>
              </w:rPr>
              <w:t>单位员工结构</w:t>
            </w:r>
          </w:p>
        </w:tc>
        <w:tc>
          <w:tcPr>
            <w:tcW w:w="1727"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员工</w:t>
            </w:r>
          </w:p>
          <w:p>
            <w:pPr>
              <w:jc w:val="center"/>
              <w:rPr>
                <w:rFonts w:ascii="宋体" w:cs="宋体"/>
                <w:color w:val="auto"/>
                <w:sz w:val="21"/>
                <w:szCs w:val="21"/>
                <w:highlight w:val="none"/>
              </w:rPr>
            </w:pPr>
            <w:r>
              <w:rPr>
                <w:rFonts w:hint="eastAsia" w:ascii="宋体" w:cs="宋体"/>
                <w:color w:val="auto"/>
                <w:sz w:val="21"/>
                <w:szCs w:val="21"/>
                <w:highlight w:val="none"/>
              </w:rPr>
              <w:t>总数</w:t>
            </w:r>
          </w:p>
        </w:tc>
        <w:tc>
          <w:tcPr>
            <w:tcW w:w="1440" w:type="dxa"/>
            <w:gridSpan w:val="4"/>
            <w:vAlign w:val="center"/>
          </w:tcPr>
          <w:p>
            <w:pPr>
              <w:jc w:val="center"/>
              <w:rPr>
                <w:rFonts w:ascii="宋体" w:cs="宋体"/>
                <w:color w:val="auto"/>
                <w:sz w:val="21"/>
                <w:szCs w:val="21"/>
                <w:highlight w:val="none"/>
              </w:rPr>
            </w:pPr>
            <w:r>
              <w:rPr>
                <w:rFonts w:hint="eastAsia" w:ascii="宋体" w:cs="宋体"/>
                <w:color w:val="auto"/>
                <w:sz w:val="21"/>
                <w:szCs w:val="21"/>
                <w:highlight w:val="none"/>
              </w:rPr>
              <w:t>高级技</w:t>
            </w:r>
          </w:p>
          <w:p>
            <w:pPr>
              <w:jc w:val="center"/>
              <w:rPr>
                <w:rFonts w:ascii="宋体" w:cs="宋体"/>
                <w:color w:val="auto"/>
                <w:sz w:val="21"/>
                <w:szCs w:val="21"/>
                <w:highlight w:val="none"/>
              </w:rPr>
            </w:pPr>
            <w:r>
              <w:rPr>
                <w:rFonts w:hint="eastAsia" w:ascii="宋体" w:cs="宋体"/>
                <w:color w:val="auto"/>
                <w:sz w:val="21"/>
                <w:szCs w:val="21"/>
                <w:highlight w:val="none"/>
              </w:rPr>
              <w:t>术人员</w:t>
            </w:r>
          </w:p>
        </w:tc>
        <w:tc>
          <w:tcPr>
            <w:tcW w:w="1620"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中级技</w:t>
            </w:r>
          </w:p>
          <w:p>
            <w:pPr>
              <w:jc w:val="center"/>
              <w:rPr>
                <w:rFonts w:ascii="宋体" w:cs="宋体"/>
                <w:color w:val="auto"/>
                <w:sz w:val="21"/>
                <w:szCs w:val="21"/>
                <w:highlight w:val="none"/>
              </w:rPr>
            </w:pPr>
            <w:r>
              <w:rPr>
                <w:rFonts w:hint="eastAsia" w:ascii="宋体" w:cs="宋体"/>
                <w:color w:val="auto"/>
                <w:sz w:val="21"/>
                <w:szCs w:val="21"/>
                <w:highlight w:val="none"/>
              </w:rPr>
              <w:t>术人员</w:t>
            </w:r>
          </w:p>
        </w:tc>
        <w:tc>
          <w:tcPr>
            <w:tcW w:w="1260"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初级技</w:t>
            </w:r>
          </w:p>
          <w:p>
            <w:pPr>
              <w:jc w:val="center"/>
              <w:rPr>
                <w:rFonts w:ascii="宋体" w:cs="宋体"/>
                <w:color w:val="auto"/>
                <w:sz w:val="21"/>
                <w:szCs w:val="21"/>
                <w:highlight w:val="none"/>
              </w:rPr>
            </w:pPr>
            <w:r>
              <w:rPr>
                <w:rFonts w:hint="eastAsia" w:ascii="宋体" w:cs="宋体"/>
                <w:color w:val="auto"/>
                <w:sz w:val="21"/>
                <w:szCs w:val="21"/>
                <w:highlight w:val="none"/>
              </w:rPr>
              <w:t>术人员</w:t>
            </w:r>
          </w:p>
        </w:tc>
        <w:tc>
          <w:tcPr>
            <w:tcW w:w="2016"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行政管</w:t>
            </w:r>
          </w:p>
          <w:p>
            <w:pPr>
              <w:jc w:val="center"/>
              <w:rPr>
                <w:rFonts w:ascii="宋体" w:cs="宋体"/>
                <w:color w:val="auto"/>
                <w:sz w:val="21"/>
                <w:szCs w:val="21"/>
                <w:highlight w:val="none"/>
              </w:rPr>
            </w:pPr>
            <w:r>
              <w:rPr>
                <w:rFonts w:hint="eastAsia" w:ascii="宋体" w:cs="宋体"/>
                <w:color w:val="auto"/>
                <w:sz w:val="21"/>
                <w:szCs w:val="21"/>
                <w:highlight w:val="none"/>
              </w:rPr>
              <w:t>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261" w:type="dxa"/>
            <w:vMerge w:val="continue"/>
            <w:vAlign w:val="center"/>
          </w:tcPr>
          <w:p>
            <w:pPr>
              <w:rPr>
                <w:color w:val="auto"/>
                <w:sz w:val="21"/>
                <w:szCs w:val="21"/>
                <w:highlight w:val="none"/>
              </w:rPr>
            </w:pPr>
          </w:p>
        </w:tc>
        <w:tc>
          <w:tcPr>
            <w:tcW w:w="1727" w:type="dxa"/>
            <w:gridSpan w:val="3"/>
            <w:vAlign w:val="center"/>
          </w:tcPr>
          <w:p>
            <w:pPr>
              <w:jc w:val="center"/>
              <w:rPr>
                <w:rFonts w:ascii="宋体" w:cs="宋体"/>
                <w:color w:val="auto"/>
                <w:sz w:val="21"/>
                <w:szCs w:val="21"/>
                <w:highlight w:val="none"/>
              </w:rPr>
            </w:pPr>
          </w:p>
        </w:tc>
        <w:tc>
          <w:tcPr>
            <w:tcW w:w="1440" w:type="dxa"/>
            <w:gridSpan w:val="4"/>
            <w:vAlign w:val="center"/>
          </w:tcPr>
          <w:p>
            <w:pPr>
              <w:jc w:val="center"/>
              <w:rPr>
                <w:rFonts w:ascii="宋体" w:cs="宋体"/>
                <w:color w:val="auto"/>
                <w:sz w:val="21"/>
                <w:szCs w:val="21"/>
                <w:highlight w:val="none"/>
              </w:rPr>
            </w:pPr>
          </w:p>
        </w:tc>
        <w:tc>
          <w:tcPr>
            <w:tcW w:w="1620" w:type="dxa"/>
            <w:gridSpan w:val="3"/>
            <w:vAlign w:val="center"/>
          </w:tcPr>
          <w:p>
            <w:pPr>
              <w:jc w:val="center"/>
              <w:rPr>
                <w:rFonts w:ascii="宋体" w:cs="宋体"/>
                <w:color w:val="auto"/>
                <w:sz w:val="21"/>
                <w:szCs w:val="21"/>
                <w:highlight w:val="none"/>
              </w:rPr>
            </w:pPr>
          </w:p>
        </w:tc>
        <w:tc>
          <w:tcPr>
            <w:tcW w:w="1260" w:type="dxa"/>
            <w:gridSpan w:val="3"/>
            <w:vAlign w:val="center"/>
          </w:tcPr>
          <w:p>
            <w:pPr>
              <w:jc w:val="center"/>
              <w:rPr>
                <w:rFonts w:ascii="宋体" w:cs="宋体"/>
                <w:color w:val="auto"/>
                <w:sz w:val="21"/>
                <w:szCs w:val="21"/>
                <w:highlight w:val="none"/>
              </w:rPr>
            </w:pPr>
          </w:p>
        </w:tc>
        <w:tc>
          <w:tcPr>
            <w:tcW w:w="2016" w:type="dxa"/>
            <w:gridSpan w:val="3"/>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9324" w:type="dxa"/>
            <w:gridSpan w:val="17"/>
            <w:vAlign w:val="center"/>
          </w:tcPr>
          <w:p>
            <w:pPr>
              <w:jc w:val="center"/>
              <w:rPr>
                <w:rFonts w:ascii="宋体" w:cs="宋体"/>
                <w:color w:val="auto"/>
                <w:sz w:val="21"/>
                <w:szCs w:val="21"/>
                <w:highlight w:val="none"/>
              </w:rPr>
            </w:pPr>
            <w:r>
              <w:rPr>
                <w:rFonts w:hint="eastAsia" w:ascii="宋体" w:cs="宋体"/>
                <w:color w:val="auto"/>
                <w:sz w:val="21"/>
                <w:szCs w:val="21"/>
                <w:highlight w:val="none"/>
              </w:rPr>
              <w:t>生产销售状况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3252" w:type="dxa"/>
            <w:gridSpan w:val="5"/>
            <w:vAlign w:val="center"/>
          </w:tcPr>
          <w:p>
            <w:pPr>
              <w:jc w:val="center"/>
              <w:rPr>
                <w:rFonts w:ascii="宋体" w:cs="宋体"/>
                <w:color w:val="auto"/>
                <w:sz w:val="21"/>
                <w:szCs w:val="21"/>
                <w:highlight w:val="none"/>
              </w:rPr>
            </w:pPr>
            <w:r>
              <w:rPr>
                <w:rFonts w:hint="eastAsia" w:ascii="宋体" w:cs="宋体"/>
                <w:color w:val="auto"/>
                <w:sz w:val="21"/>
                <w:szCs w:val="21"/>
                <w:highlight w:val="none"/>
              </w:rPr>
              <w:t>20</w:t>
            </w:r>
            <w:r>
              <w:rPr>
                <w:rFonts w:hint="eastAsia" w:ascii="宋体" w:cs="宋体"/>
                <w:color w:val="auto"/>
                <w:sz w:val="21"/>
                <w:szCs w:val="21"/>
                <w:highlight w:val="none"/>
                <w:lang w:val="en-US" w:eastAsia="zh-CN"/>
              </w:rPr>
              <w:t>21</w:t>
            </w:r>
            <w:r>
              <w:rPr>
                <w:rFonts w:hint="eastAsia" w:ascii="宋体" w:cs="宋体"/>
                <w:color w:val="auto"/>
                <w:sz w:val="21"/>
                <w:szCs w:val="21"/>
                <w:highlight w:val="none"/>
              </w:rPr>
              <w:t>年</w:t>
            </w:r>
          </w:p>
        </w:tc>
        <w:tc>
          <w:tcPr>
            <w:tcW w:w="3329" w:type="dxa"/>
            <w:gridSpan w:val="8"/>
            <w:vAlign w:val="center"/>
          </w:tcPr>
          <w:p>
            <w:pPr>
              <w:jc w:val="center"/>
              <w:rPr>
                <w:rFonts w:ascii="宋体" w:cs="宋体"/>
                <w:color w:val="auto"/>
                <w:sz w:val="21"/>
                <w:szCs w:val="21"/>
                <w:highlight w:val="none"/>
              </w:rPr>
            </w:pPr>
            <w:r>
              <w:rPr>
                <w:rFonts w:hint="eastAsia" w:ascii="宋体" w:cs="宋体"/>
                <w:color w:val="auto"/>
                <w:sz w:val="21"/>
                <w:szCs w:val="21"/>
                <w:highlight w:val="none"/>
              </w:rPr>
              <w:t>20</w:t>
            </w:r>
            <w:r>
              <w:rPr>
                <w:rFonts w:hint="eastAsia" w:ascii="宋体" w:cs="宋体"/>
                <w:color w:val="auto"/>
                <w:sz w:val="21"/>
                <w:szCs w:val="21"/>
                <w:highlight w:val="none"/>
                <w:lang w:val="en-US" w:eastAsia="zh-CN"/>
              </w:rPr>
              <w:t>22</w:t>
            </w:r>
            <w:r>
              <w:rPr>
                <w:rFonts w:hint="eastAsia" w:ascii="宋体" w:cs="宋体"/>
                <w:color w:val="auto"/>
                <w:sz w:val="21"/>
                <w:szCs w:val="21"/>
                <w:highlight w:val="none"/>
              </w:rPr>
              <w:t>年</w:t>
            </w:r>
          </w:p>
        </w:tc>
        <w:tc>
          <w:tcPr>
            <w:tcW w:w="2743" w:type="dxa"/>
            <w:gridSpan w:val="4"/>
            <w:vAlign w:val="center"/>
          </w:tcPr>
          <w:p>
            <w:pPr>
              <w:jc w:val="center"/>
              <w:rPr>
                <w:rFonts w:ascii="宋体" w:cs="宋体"/>
                <w:color w:val="auto"/>
                <w:sz w:val="21"/>
                <w:szCs w:val="21"/>
                <w:highlight w:val="none"/>
              </w:rPr>
            </w:pPr>
            <w:r>
              <w:rPr>
                <w:rFonts w:hint="eastAsia" w:ascii="宋体" w:cs="宋体"/>
                <w:color w:val="auto"/>
                <w:sz w:val="21"/>
                <w:szCs w:val="21"/>
                <w:highlight w:val="none"/>
              </w:rPr>
              <w:t>202</w:t>
            </w:r>
            <w:r>
              <w:rPr>
                <w:rFonts w:hint="eastAsia" w:ascii="宋体" w:cs="宋体"/>
                <w:color w:val="auto"/>
                <w:sz w:val="21"/>
                <w:szCs w:val="21"/>
                <w:highlight w:val="none"/>
                <w:lang w:val="en-US" w:eastAsia="zh-CN"/>
              </w:rPr>
              <w:t>3</w:t>
            </w:r>
            <w:r>
              <w:rPr>
                <w:rFonts w:hint="eastAsia" w:ascii="宋体" w:cs="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1638" w:type="dxa"/>
            <w:gridSpan w:val="2"/>
            <w:vAlign w:val="center"/>
          </w:tcPr>
          <w:p>
            <w:pPr>
              <w:jc w:val="center"/>
              <w:rPr>
                <w:rFonts w:ascii="宋体" w:cs="宋体"/>
                <w:color w:val="auto"/>
                <w:sz w:val="21"/>
                <w:szCs w:val="21"/>
                <w:highlight w:val="none"/>
              </w:rPr>
            </w:pPr>
            <w:r>
              <w:rPr>
                <w:rFonts w:hint="eastAsia" w:ascii="宋体" w:cs="宋体"/>
                <w:color w:val="auto"/>
                <w:sz w:val="21"/>
                <w:szCs w:val="21"/>
                <w:highlight w:val="none"/>
              </w:rPr>
              <w:t>年产量</w:t>
            </w:r>
          </w:p>
        </w:tc>
        <w:tc>
          <w:tcPr>
            <w:tcW w:w="1614"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年销售额</w:t>
            </w:r>
          </w:p>
          <w:p>
            <w:pPr>
              <w:jc w:val="center"/>
              <w:rPr>
                <w:rFonts w:ascii="宋体" w:cs="宋体"/>
                <w:color w:val="auto"/>
                <w:sz w:val="21"/>
                <w:szCs w:val="21"/>
                <w:highlight w:val="none"/>
              </w:rPr>
            </w:pPr>
            <w:r>
              <w:rPr>
                <w:rFonts w:hint="eastAsia" w:ascii="宋体" w:cs="宋体"/>
                <w:color w:val="auto"/>
                <w:sz w:val="21"/>
                <w:szCs w:val="21"/>
                <w:highlight w:val="none"/>
              </w:rPr>
              <w:t>（万元）</w:t>
            </w:r>
          </w:p>
        </w:tc>
        <w:tc>
          <w:tcPr>
            <w:tcW w:w="1586" w:type="dxa"/>
            <w:gridSpan w:val="5"/>
            <w:vAlign w:val="center"/>
          </w:tcPr>
          <w:p>
            <w:pPr>
              <w:jc w:val="center"/>
              <w:rPr>
                <w:rFonts w:ascii="宋体" w:cs="宋体"/>
                <w:color w:val="auto"/>
                <w:sz w:val="21"/>
                <w:szCs w:val="21"/>
                <w:highlight w:val="none"/>
              </w:rPr>
            </w:pPr>
            <w:r>
              <w:rPr>
                <w:rFonts w:hint="eastAsia" w:ascii="宋体" w:cs="宋体"/>
                <w:color w:val="auto"/>
                <w:sz w:val="21"/>
                <w:szCs w:val="21"/>
                <w:highlight w:val="none"/>
              </w:rPr>
              <w:t>年产量</w:t>
            </w:r>
          </w:p>
        </w:tc>
        <w:tc>
          <w:tcPr>
            <w:tcW w:w="1743"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年销售额</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（万元）</w:t>
            </w:r>
          </w:p>
        </w:tc>
        <w:tc>
          <w:tcPr>
            <w:tcW w:w="1404" w:type="dxa"/>
            <w:gridSpan w:val="3"/>
            <w:vAlign w:val="center"/>
          </w:tcPr>
          <w:p>
            <w:pPr>
              <w:jc w:val="center"/>
              <w:rPr>
                <w:rFonts w:ascii="宋体" w:cs="宋体"/>
                <w:color w:val="auto"/>
                <w:sz w:val="21"/>
                <w:szCs w:val="21"/>
                <w:highlight w:val="none"/>
              </w:rPr>
            </w:pPr>
            <w:r>
              <w:rPr>
                <w:rFonts w:hint="eastAsia" w:ascii="宋体" w:cs="宋体"/>
                <w:color w:val="auto"/>
                <w:sz w:val="21"/>
                <w:szCs w:val="21"/>
                <w:highlight w:val="none"/>
              </w:rPr>
              <w:t>年产量</w:t>
            </w:r>
          </w:p>
        </w:tc>
        <w:tc>
          <w:tcPr>
            <w:tcW w:w="1339" w:type="dxa"/>
            <w:vAlign w:val="center"/>
          </w:tcPr>
          <w:p>
            <w:pPr>
              <w:jc w:val="center"/>
              <w:rPr>
                <w:rFonts w:ascii="宋体" w:cs="宋体"/>
                <w:color w:val="auto"/>
                <w:sz w:val="21"/>
                <w:szCs w:val="21"/>
                <w:highlight w:val="none"/>
              </w:rPr>
            </w:pPr>
            <w:r>
              <w:rPr>
                <w:rFonts w:hint="eastAsia" w:ascii="宋体" w:cs="宋体"/>
                <w:color w:val="auto"/>
                <w:sz w:val="21"/>
                <w:szCs w:val="21"/>
                <w:highlight w:val="none"/>
              </w:rPr>
              <w:t>年销售额</w:t>
            </w:r>
          </w:p>
          <w:p>
            <w:pPr>
              <w:jc w:val="center"/>
              <w:rPr>
                <w:rFonts w:ascii="宋体" w:cs="宋体"/>
                <w:color w:val="auto"/>
                <w:sz w:val="21"/>
                <w:szCs w:val="21"/>
                <w:highlight w:val="none"/>
              </w:rPr>
            </w:pPr>
            <w:r>
              <w:rPr>
                <w:rFonts w:hint="eastAsia" w:ascii="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1638" w:type="dxa"/>
            <w:gridSpan w:val="2"/>
            <w:vAlign w:val="center"/>
          </w:tcPr>
          <w:p>
            <w:pPr>
              <w:jc w:val="center"/>
              <w:rPr>
                <w:rFonts w:ascii="宋体" w:cs="宋体"/>
                <w:color w:val="auto"/>
                <w:sz w:val="21"/>
                <w:szCs w:val="21"/>
                <w:highlight w:val="none"/>
              </w:rPr>
            </w:pPr>
          </w:p>
        </w:tc>
        <w:tc>
          <w:tcPr>
            <w:tcW w:w="1614" w:type="dxa"/>
            <w:gridSpan w:val="3"/>
            <w:vAlign w:val="center"/>
          </w:tcPr>
          <w:p>
            <w:pPr>
              <w:jc w:val="center"/>
              <w:rPr>
                <w:rFonts w:ascii="宋体" w:cs="宋体"/>
                <w:color w:val="auto"/>
                <w:sz w:val="21"/>
                <w:szCs w:val="21"/>
                <w:highlight w:val="none"/>
              </w:rPr>
            </w:pPr>
          </w:p>
        </w:tc>
        <w:tc>
          <w:tcPr>
            <w:tcW w:w="1586" w:type="dxa"/>
            <w:gridSpan w:val="5"/>
            <w:vAlign w:val="center"/>
          </w:tcPr>
          <w:p>
            <w:pPr>
              <w:jc w:val="center"/>
              <w:rPr>
                <w:rFonts w:ascii="宋体" w:cs="宋体"/>
                <w:color w:val="auto"/>
                <w:sz w:val="21"/>
                <w:szCs w:val="21"/>
                <w:highlight w:val="none"/>
              </w:rPr>
            </w:pPr>
          </w:p>
        </w:tc>
        <w:tc>
          <w:tcPr>
            <w:tcW w:w="1743" w:type="dxa"/>
            <w:gridSpan w:val="3"/>
            <w:vAlign w:val="center"/>
          </w:tcPr>
          <w:p>
            <w:pPr>
              <w:jc w:val="center"/>
              <w:rPr>
                <w:rFonts w:ascii="宋体" w:cs="宋体"/>
                <w:color w:val="auto"/>
                <w:sz w:val="21"/>
                <w:szCs w:val="21"/>
                <w:highlight w:val="none"/>
              </w:rPr>
            </w:pPr>
          </w:p>
        </w:tc>
        <w:tc>
          <w:tcPr>
            <w:tcW w:w="1404" w:type="dxa"/>
            <w:gridSpan w:val="3"/>
            <w:vAlign w:val="center"/>
          </w:tcPr>
          <w:p>
            <w:pPr>
              <w:jc w:val="center"/>
              <w:rPr>
                <w:rFonts w:ascii="宋体" w:cs="宋体"/>
                <w:color w:val="auto"/>
                <w:sz w:val="21"/>
                <w:szCs w:val="21"/>
                <w:highlight w:val="none"/>
              </w:rPr>
            </w:pPr>
          </w:p>
        </w:tc>
        <w:tc>
          <w:tcPr>
            <w:tcW w:w="1339" w:type="dxa"/>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141" w:type="dxa"/>
            <w:gridSpan w:val="3"/>
            <w:vMerge w:val="restart"/>
            <w:vAlign w:val="center"/>
          </w:tcPr>
          <w:p>
            <w:pPr>
              <w:jc w:val="center"/>
              <w:rPr>
                <w:rFonts w:ascii="宋体" w:cs="宋体"/>
                <w:color w:val="auto"/>
                <w:sz w:val="21"/>
                <w:szCs w:val="21"/>
                <w:highlight w:val="none"/>
              </w:rPr>
            </w:pPr>
            <w:r>
              <w:rPr>
                <w:rFonts w:hint="eastAsia" w:ascii="宋体" w:cs="宋体"/>
                <w:color w:val="auto"/>
                <w:sz w:val="21"/>
                <w:szCs w:val="21"/>
                <w:highlight w:val="none"/>
              </w:rPr>
              <w:t>主要原材料、配件进货渠道（可另附纸）</w:t>
            </w:r>
          </w:p>
        </w:tc>
        <w:tc>
          <w:tcPr>
            <w:tcW w:w="2697" w:type="dxa"/>
            <w:gridSpan w:val="7"/>
            <w:vAlign w:val="center"/>
          </w:tcPr>
          <w:p>
            <w:pPr>
              <w:jc w:val="center"/>
              <w:rPr>
                <w:rFonts w:ascii="宋体" w:cs="宋体"/>
                <w:color w:val="auto"/>
                <w:sz w:val="21"/>
                <w:szCs w:val="21"/>
                <w:highlight w:val="none"/>
              </w:rPr>
            </w:pPr>
            <w:r>
              <w:rPr>
                <w:rFonts w:hint="eastAsia" w:ascii="宋体" w:cs="宋体"/>
                <w:color w:val="auto"/>
                <w:sz w:val="21"/>
                <w:szCs w:val="21"/>
                <w:highlight w:val="none"/>
              </w:rPr>
              <w:t>原材料、配件名称</w:t>
            </w:r>
          </w:p>
        </w:tc>
        <w:tc>
          <w:tcPr>
            <w:tcW w:w="4486" w:type="dxa"/>
            <w:gridSpan w:val="7"/>
            <w:vAlign w:val="center"/>
          </w:tcPr>
          <w:p>
            <w:pPr>
              <w:jc w:val="center"/>
              <w:rPr>
                <w:rFonts w:ascii="宋体" w:cs="宋体"/>
                <w:color w:val="auto"/>
                <w:sz w:val="21"/>
                <w:szCs w:val="21"/>
                <w:highlight w:val="none"/>
              </w:rPr>
            </w:pPr>
            <w:r>
              <w:rPr>
                <w:rFonts w:hint="eastAsia" w:ascii="宋体" w:cs="宋体"/>
                <w:color w:val="auto"/>
                <w:sz w:val="21"/>
                <w:szCs w:val="21"/>
                <w:highlight w:val="none"/>
              </w:rPr>
              <w:t>生产厂名称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141" w:type="dxa"/>
            <w:gridSpan w:val="3"/>
            <w:vMerge w:val="continue"/>
            <w:vAlign w:val="center"/>
          </w:tcPr>
          <w:p>
            <w:pPr>
              <w:rPr>
                <w:color w:val="auto"/>
                <w:sz w:val="21"/>
                <w:szCs w:val="21"/>
                <w:highlight w:val="none"/>
              </w:rPr>
            </w:pPr>
          </w:p>
        </w:tc>
        <w:tc>
          <w:tcPr>
            <w:tcW w:w="2697" w:type="dxa"/>
            <w:gridSpan w:val="7"/>
            <w:vAlign w:val="center"/>
          </w:tcPr>
          <w:p>
            <w:pPr>
              <w:jc w:val="center"/>
              <w:rPr>
                <w:rFonts w:ascii="宋体" w:cs="宋体"/>
                <w:color w:val="auto"/>
                <w:sz w:val="21"/>
                <w:szCs w:val="21"/>
                <w:highlight w:val="none"/>
              </w:rPr>
            </w:pPr>
          </w:p>
        </w:tc>
        <w:tc>
          <w:tcPr>
            <w:tcW w:w="4486" w:type="dxa"/>
            <w:gridSpan w:val="7"/>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2141" w:type="dxa"/>
            <w:gridSpan w:val="3"/>
            <w:vMerge w:val="continue"/>
            <w:vAlign w:val="center"/>
          </w:tcPr>
          <w:p>
            <w:pPr>
              <w:rPr>
                <w:color w:val="auto"/>
                <w:sz w:val="21"/>
                <w:szCs w:val="21"/>
                <w:highlight w:val="none"/>
              </w:rPr>
            </w:pPr>
          </w:p>
        </w:tc>
        <w:tc>
          <w:tcPr>
            <w:tcW w:w="2697" w:type="dxa"/>
            <w:gridSpan w:val="7"/>
            <w:vAlign w:val="center"/>
          </w:tcPr>
          <w:p>
            <w:pPr>
              <w:jc w:val="center"/>
              <w:rPr>
                <w:rFonts w:ascii="宋体" w:cs="宋体"/>
                <w:color w:val="auto"/>
                <w:sz w:val="21"/>
                <w:szCs w:val="21"/>
                <w:highlight w:val="none"/>
              </w:rPr>
            </w:pPr>
          </w:p>
        </w:tc>
        <w:tc>
          <w:tcPr>
            <w:tcW w:w="4486" w:type="dxa"/>
            <w:gridSpan w:val="7"/>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2141" w:type="dxa"/>
            <w:gridSpan w:val="3"/>
            <w:vMerge w:val="continue"/>
            <w:vAlign w:val="center"/>
          </w:tcPr>
          <w:p>
            <w:pPr>
              <w:rPr>
                <w:color w:val="auto"/>
                <w:sz w:val="21"/>
                <w:szCs w:val="21"/>
                <w:highlight w:val="none"/>
              </w:rPr>
            </w:pPr>
          </w:p>
        </w:tc>
        <w:tc>
          <w:tcPr>
            <w:tcW w:w="2697" w:type="dxa"/>
            <w:gridSpan w:val="7"/>
            <w:vAlign w:val="center"/>
          </w:tcPr>
          <w:p>
            <w:pPr>
              <w:jc w:val="center"/>
              <w:rPr>
                <w:rFonts w:ascii="宋体" w:cs="宋体"/>
                <w:color w:val="auto"/>
                <w:sz w:val="21"/>
                <w:szCs w:val="21"/>
                <w:highlight w:val="none"/>
              </w:rPr>
            </w:pPr>
          </w:p>
        </w:tc>
        <w:tc>
          <w:tcPr>
            <w:tcW w:w="4486" w:type="dxa"/>
            <w:gridSpan w:val="7"/>
            <w:vAlign w:val="center"/>
          </w:tcPr>
          <w:p>
            <w:pPr>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324" w:type="dxa"/>
            <w:gridSpan w:val="17"/>
          </w:tcPr>
          <w:p>
            <w:pPr>
              <w:rPr>
                <w:rFonts w:ascii="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540" w:lineRule="exact"/>
              <w:textAlignment w:val="auto"/>
              <w:rPr>
                <w:rFonts w:ascii="宋体" w:cs="宋体"/>
                <w:color w:val="auto"/>
                <w:sz w:val="21"/>
                <w:szCs w:val="21"/>
                <w:highlight w:val="none"/>
              </w:rPr>
            </w:pPr>
            <w:r>
              <w:rPr>
                <w:rFonts w:hint="eastAsia" w:ascii="宋体" w:cs="宋体"/>
                <w:color w:val="auto"/>
                <w:sz w:val="21"/>
                <w:szCs w:val="21"/>
                <w:highlight w:val="none"/>
              </w:rPr>
              <w:t>单位（公章）：</w:t>
            </w:r>
          </w:p>
          <w:p>
            <w:pPr>
              <w:keepNext w:val="0"/>
              <w:keepLines w:val="0"/>
              <w:pageBreakBefore w:val="0"/>
              <w:widowControl/>
              <w:kinsoku/>
              <w:wordWrap/>
              <w:overflowPunct/>
              <w:topLinePunct w:val="0"/>
              <w:autoSpaceDE/>
              <w:autoSpaceDN/>
              <w:bidi w:val="0"/>
              <w:adjustRightInd/>
              <w:snapToGrid/>
              <w:spacing w:line="540" w:lineRule="exact"/>
              <w:textAlignment w:val="auto"/>
              <w:rPr>
                <w:rFonts w:ascii="宋体" w:cs="宋体"/>
                <w:color w:val="auto"/>
                <w:sz w:val="21"/>
                <w:szCs w:val="21"/>
                <w:highlight w:val="none"/>
              </w:rPr>
            </w:pPr>
            <w:r>
              <w:rPr>
                <w:rFonts w:hint="eastAsia" w:ascii="宋体" w:cs="宋体"/>
                <w:color w:val="auto"/>
                <w:sz w:val="21"/>
                <w:szCs w:val="21"/>
                <w:highlight w:val="none"/>
              </w:rPr>
              <w:t>法定代表人（签字或印鉴）：</w:t>
            </w:r>
          </w:p>
          <w:p>
            <w:pPr>
              <w:keepNext w:val="0"/>
              <w:keepLines w:val="0"/>
              <w:pageBreakBefore w:val="0"/>
              <w:widowControl/>
              <w:kinsoku/>
              <w:wordWrap/>
              <w:overflowPunct/>
              <w:topLinePunct w:val="0"/>
              <w:autoSpaceDE/>
              <w:autoSpaceDN/>
              <w:bidi w:val="0"/>
              <w:adjustRightInd/>
              <w:snapToGrid/>
              <w:spacing w:line="540" w:lineRule="exact"/>
              <w:ind w:firstLine="4830" w:firstLineChars="2300"/>
              <w:textAlignment w:val="auto"/>
              <w:rPr>
                <w:rFonts w:ascii="宋体" w:cs="宋体"/>
                <w:color w:val="auto"/>
                <w:sz w:val="21"/>
                <w:szCs w:val="21"/>
                <w:highlight w:val="none"/>
              </w:rPr>
            </w:pPr>
            <w:r>
              <w:rPr>
                <w:rFonts w:hint="eastAsia" w:ascii="宋体" w:cs="宋体"/>
                <w:color w:val="auto"/>
                <w:sz w:val="21"/>
                <w:szCs w:val="21"/>
                <w:highlight w:val="none"/>
              </w:rPr>
              <w:t xml:space="preserve">     </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年    月   日</w:t>
            </w:r>
          </w:p>
        </w:tc>
      </w:tr>
    </w:tbl>
    <w:p>
      <w:pPr>
        <w:widowControl w:val="0"/>
        <w:spacing w:line="400" w:lineRule="exact"/>
        <w:jc w:val="both"/>
        <w:rPr>
          <w:rFonts w:ascii="宋体"/>
          <w:color w:val="auto"/>
          <w:sz w:val="24"/>
          <w:highlight w:val="none"/>
        </w:rPr>
      </w:pPr>
      <w:r>
        <w:rPr>
          <w:rFonts w:ascii="宋体"/>
          <w:b/>
          <w:color w:val="auto"/>
          <w:sz w:val="24"/>
          <w:szCs w:val="24"/>
          <w:highlight w:val="none"/>
        </w:rPr>
        <w:br w:type="page"/>
      </w:r>
    </w:p>
    <w:p>
      <w:pPr>
        <w:pStyle w:val="6"/>
        <w:rPr>
          <w:rFonts w:hint="eastAsia"/>
          <w:color w:val="auto"/>
          <w:highlight w:val="none"/>
        </w:rPr>
      </w:pPr>
      <w:bookmarkStart w:id="498" w:name="_Toc1791"/>
      <w:r>
        <w:rPr>
          <w:rStyle w:val="41"/>
          <w:rFonts w:hint="eastAsia"/>
          <w:b/>
          <w:bCs/>
          <w:color w:val="auto"/>
          <w:sz w:val="28"/>
          <w:szCs w:val="28"/>
          <w:highlight w:val="none"/>
        </w:rPr>
        <w:t>格式五</w:t>
      </w:r>
      <w:bookmarkEnd w:id="498"/>
      <w:r>
        <w:rPr>
          <w:rStyle w:val="41"/>
          <w:rFonts w:hint="eastAsia"/>
          <w:b/>
          <w:bCs/>
          <w:color w:val="auto"/>
          <w:sz w:val="28"/>
          <w:szCs w:val="28"/>
          <w:highlight w:val="none"/>
        </w:rPr>
        <w:t xml:space="preserve">   </w:t>
      </w:r>
      <w:r>
        <w:rPr>
          <w:rFonts w:hint="eastAsia"/>
          <w:color w:val="auto"/>
          <w:highlight w:val="none"/>
        </w:rPr>
        <w:t xml:space="preserve">                       </w:t>
      </w:r>
    </w:p>
    <w:p>
      <w:pPr>
        <w:pStyle w:val="6"/>
        <w:jc w:val="center"/>
        <w:rPr>
          <w:color w:val="auto"/>
          <w:highlight w:val="none"/>
        </w:rPr>
      </w:pPr>
      <w:bookmarkStart w:id="499" w:name="_Toc985"/>
      <w:r>
        <w:rPr>
          <w:rFonts w:hint="eastAsia"/>
          <w:color w:val="auto"/>
          <w:highlight w:val="none"/>
        </w:rPr>
        <w:t>法定代表人身份证明书</w:t>
      </w:r>
      <w:bookmarkEnd w:id="467"/>
      <w:bookmarkEnd w:id="468"/>
      <w:bookmarkEnd w:id="469"/>
      <w:bookmarkEnd w:id="494"/>
      <w:bookmarkEnd w:id="495"/>
      <w:bookmarkEnd w:id="496"/>
      <w:bookmarkEnd w:id="499"/>
    </w:p>
    <w:p>
      <w:pPr>
        <w:autoSpaceDE w:val="0"/>
        <w:autoSpaceDN w:val="0"/>
        <w:adjustRightInd w:val="0"/>
        <w:spacing w:line="480" w:lineRule="auto"/>
        <w:ind w:firstLine="612"/>
        <w:rPr>
          <w:rFonts w:hint="default" w:ascii="宋体" w:eastAsia="宋体" w:cs="宋体"/>
          <w:color w:val="auto"/>
          <w:sz w:val="24"/>
          <w:szCs w:val="24"/>
          <w:highlight w:val="none"/>
          <w:u w:val="single"/>
          <w:lang w:val="en-US" w:eastAsia="zh-CN"/>
        </w:rPr>
      </w:pPr>
      <w:r>
        <w:rPr>
          <w:rFonts w:hint="eastAsia" w:ascii="宋体" w:cs="宋体"/>
          <w:color w:val="auto"/>
          <w:sz w:val="24"/>
          <w:szCs w:val="24"/>
          <w:highlight w:val="none"/>
          <w:lang w:val="zh-CN"/>
        </w:rPr>
        <w:t>单位名称：</w:t>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单位性质：</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地</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址：</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成立时间：</w:t>
      </w:r>
      <w:r>
        <w:rPr>
          <w:rFonts w:hint="eastAsia" w:ascii="宋体" w:cs="宋体"/>
          <w:color w:val="auto"/>
          <w:sz w:val="24"/>
          <w:szCs w:val="24"/>
          <w:highlight w:val="none"/>
          <w:u w:val="single"/>
          <w:lang w:val="zh-CN"/>
        </w:rPr>
        <w:t xml:space="preserve">       </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u w:val="single"/>
          <w:lang w:val="zh-CN"/>
        </w:rPr>
        <w:t xml:space="preserve">   年       月         日</w:t>
      </w:r>
    </w:p>
    <w:p>
      <w:pPr>
        <w:autoSpaceDE w:val="0"/>
        <w:autoSpaceDN w:val="0"/>
        <w:adjustRightInd w:val="0"/>
        <w:spacing w:line="480" w:lineRule="auto"/>
        <w:ind w:firstLine="610"/>
        <w:rPr>
          <w:rFonts w:hint="default" w:ascii="宋体" w:eastAsia="宋体" w:cs="宋体"/>
          <w:color w:val="auto"/>
          <w:sz w:val="24"/>
          <w:szCs w:val="24"/>
          <w:highlight w:val="none"/>
          <w:u w:val="single"/>
          <w:lang w:val="en-US" w:eastAsia="zh-CN"/>
        </w:rPr>
      </w:pPr>
      <w:r>
        <w:rPr>
          <w:rFonts w:hint="eastAsia" w:ascii="宋体" w:cs="宋体"/>
          <w:color w:val="auto"/>
          <w:sz w:val="24"/>
          <w:szCs w:val="24"/>
          <w:highlight w:val="none"/>
          <w:lang w:val="zh-CN"/>
        </w:rPr>
        <w:t>经营期限：</w:t>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r>
        <w:rPr>
          <w:rFonts w:ascii="宋体" w:cs="宋体"/>
          <w:color w:val="auto"/>
          <w:sz w:val="24"/>
          <w:szCs w:val="24"/>
          <w:highlight w:val="none"/>
          <w:u w:val="single"/>
          <w:lang w:val="zh-CN"/>
        </w:rPr>
        <w:tab/>
      </w:r>
      <w:r>
        <w:rPr>
          <w:rFonts w:hint="eastAsia" w:ascii="宋体" w:cs="宋体"/>
          <w:color w:val="auto"/>
          <w:sz w:val="24"/>
          <w:szCs w:val="24"/>
          <w:highlight w:val="none"/>
          <w:u w:val="single"/>
          <w:lang w:val="en-US" w:eastAsia="zh-CN"/>
        </w:rPr>
        <w:t xml:space="preserve">   </w:t>
      </w:r>
    </w:p>
    <w:p>
      <w:pPr>
        <w:autoSpaceDE w:val="0"/>
        <w:autoSpaceDN w:val="0"/>
        <w:adjustRightInd w:val="0"/>
        <w:spacing w:line="480" w:lineRule="auto"/>
        <w:ind w:firstLine="610"/>
        <w:rPr>
          <w:rFonts w:hint="default" w:ascii="宋体" w:eastAsia="宋体" w:cs="宋体"/>
          <w:color w:val="auto"/>
          <w:sz w:val="24"/>
          <w:szCs w:val="24"/>
          <w:highlight w:val="none"/>
          <w:u w:val="single"/>
          <w:lang w:val="en-US" w:eastAsia="zh-CN"/>
        </w:rPr>
      </w:pPr>
      <w:r>
        <w:rPr>
          <w:rFonts w:hint="eastAsia" w:ascii="宋体" w:cs="宋体"/>
          <w:color w:val="auto"/>
          <w:sz w:val="24"/>
          <w:szCs w:val="24"/>
          <w:highlight w:val="none"/>
          <w:lang w:val="zh-CN"/>
        </w:rPr>
        <w:t>姓名：</w:t>
      </w:r>
      <w:r>
        <w:rPr>
          <w:rFonts w:hint="eastAsia" w:ascii="宋体" w:cs="宋体"/>
          <w:color w:val="auto"/>
          <w:sz w:val="24"/>
          <w:szCs w:val="24"/>
          <w:highlight w:val="none"/>
          <w:u w:val="single"/>
          <w:lang w:val="zh-CN"/>
        </w:rPr>
        <w:t xml:space="preserve">     </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性别：</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年龄：</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职务：</w:t>
      </w:r>
      <w:r>
        <w:rPr>
          <w:rFonts w:hint="eastAsia" w:ascii="宋体" w:cs="宋体"/>
          <w:color w:val="auto"/>
          <w:sz w:val="24"/>
          <w:szCs w:val="24"/>
          <w:highlight w:val="none"/>
          <w:lang w:val="en-US" w:eastAsia="zh-CN"/>
        </w:rPr>
        <w:t xml:space="preserve"> </w:t>
      </w:r>
      <w:r>
        <w:rPr>
          <w:rFonts w:ascii="宋体" w:cs="宋体"/>
          <w:color w:val="auto"/>
          <w:sz w:val="24"/>
          <w:szCs w:val="24"/>
          <w:highlight w:val="none"/>
          <w:u w:val="single"/>
          <w:lang w:val="zh-CN"/>
        </w:rPr>
        <w:tab/>
      </w:r>
      <w:r>
        <w:rPr>
          <w:rFonts w:hint="eastAsia" w:ascii="宋体" w:cs="宋体"/>
          <w:color w:val="auto"/>
          <w:sz w:val="24"/>
          <w:szCs w:val="24"/>
          <w:highlight w:val="none"/>
          <w:u w:val="thick"/>
          <w:lang w:val="en-US" w:eastAsia="zh-CN"/>
        </w:rPr>
        <w:t xml:space="preserve">     </w:t>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系我单位法定代表人。</w:t>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特此证明。</w:t>
      </w:r>
    </w:p>
    <w:p>
      <w:pPr>
        <w:tabs>
          <w:tab w:val="left" w:pos="720"/>
          <w:tab w:val="left" w:pos="900"/>
        </w:tabs>
        <w:autoSpaceDE w:val="0"/>
        <w:autoSpaceDN w:val="0"/>
        <w:adjustRightInd w:val="0"/>
        <w:spacing w:line="360" w:lineRule="auto"/>
        <w:ind w:firstLine="600"/>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600"/>
        <w:rPr>
          <w:rFonts w:ascii="宋体" w:cs="宋体"/>
          <w:color w:val="auto"/>
          <w:sz w:val="24"/>
          <w:szCs w:val="24"/>
          <w:highlight w:val="none"/>
          <w:u w:val="single"/>
          <w:lang w:val="zh-CN"/>
        </w:rPr>
      </w:pPr>
      <w:r>
        <w:rPr>
          <w:rFonts w:hint="eastAsia" w:ascii="宋体" w:cs="宋体"/>
          <w:color w:val="auto"/>
          <w:sz w:val="24"/>
          <w:szCs w:val="24"/>
          <w:highlight w:val="none"/>
          <w:lang w:val="zh-CN"/>
        </w:rPr>
        <w:t>单位名称（盖章）：</w:t>
      </w: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left="0" w:leftChars="0" w:firstLine="600" w:firstLineChars="250"/>
        <w:rPr>
          <w:rFonts w:ascii="宋体" w:cs="宋体"/>
          <w:color w:val="auto"/>
          <w:sz w:val="24"/>
          <w:szCs w:val="24"/>
          <w:highlight w:val="none"/>
          <w:lang w:val="zh-CN"/>
        </w:rPr>
      </w:pPr>
      <w:r>
        <w:rPr>
          <w:rFonts w:hint="eastAsia" w:ascii="宋体" w:cs="宋体"/>
          <w:color w:val="auto"/>
          <w:sz w:val="24"/>
          <w:szCs w:val="24"/>
          <w:highlight w:val="none"/>
          <w:lang w:val="zh-CN"/>
        </w:rPr>
        <w:t>日</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 xml:space="preserve">期：    </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 xml:space="preserve"> 年     月    日</w:t>
      </w:r>
    </w:p>
    <w:p>
      <w:pPr>
        <w:pStyle w:val="46"/>
        <w:ind w:left="360" w:firstLine="0" w:firstLineChars="0"/>
        <w:jc w:val="center"/>
        <w:rPr>
          <w:rFonts w:ascii="宋体"/>
          <w:color w:val="auto"/>
          <w:sz w:val="24"/>
          <w:szCs w:val="24"/>
          <w:highlight w:val="none"/>
        </w:rPr>
      </w:pPr>
    </w:p>
    <w:p>
      <w:pPr>
        <w:pStyle w:val="46"/>
        <w:ind w:left="360" w:firstLine="0" w:firstLineChars="0"/>
        <w:jc w:val="both"/>
        <w:rPr>
          <w:rFonts w:ascii="宋体"/>
          <w:color w:val="auto"/>
          <w:sz w:val="24"/>
          <w:szCs w:val="24"/>
          <w:highlight w:val="none"/>
        </w:rPr>
      </w:pPr>
      <w:bookmarkStart w:id="500" w:name="_Toc11162_WPSOffice_Level2"/>
      <w:r>
        <w:rPr>
          <w:rFonts w:hint="eastAsia" w:ascii="宋体"/>
          <w:color w:val="auto"/>
          <w:sz w:val="24"/>
          <w:szCs w:val="24"/>
          <w:highlight w:val="none"/>
        </w:rPr>
        <w:t>附法定代表人身份证</w:t>
      </w:r>
      <w:bookmarkEnd w:id="500"/>
      <w:r>
        <w:rPr>
          <w:rFonts w:hint="eastAsia" w:ascii="宋体"/>
          <w:color w:val="auto"/>
          <w:sz w:val="24"/>
          <w:szCs w:val="24"/>
          <w:highlight w:val="none"/>
        </w:rPr>
        <w:t>复印件</w:t>
      </w:r>
    </w:p>
    <w:p>
      <w:pPr>
        <w:pStyle w:val="46"/>
        <w:ind w:left="360" w:firstLine="0" w:firstLineChars="0"/>
        <w:jc w:val="center"/>
        <w:rPr>
          <w:rFonts w:ascii="宋体"/>
          <w:color w:val="auto"/>
          <w:sz w:val="28"/>
          <w:szCs w:val="28"/>
          <w:highlight w:val="none"/>
        </w:rPr>
      </w:pPr>
      <w:r>
        <w:rPr>
          <w:rFonts w:ascii="宋体"/>
          <w:color w:val="auto"/>
          <w:sz w:val="24"/>
          <w:szCs w:val="24"/>
          <w:highlight w:val="none"/>
        </w:rPr>
        <w:br w:type="page"/>
      </w:r>
    </w:p>
    <w:p>
      <w:pPr>
        <w:pStyle w:val="6"/>
        <w:rPr>
          <w:rFonts w:hint="eastAsia"/>
          <w:color w:val="auto"/>
          <w:highlight w:val="none"/>
        </w:rPr>
      </w:pPr>
      <w:bookmarkStart w:id="501" w:name="_Toc8991"/>
      <w:bookmarkStart w:id="502" w:name="_Toc30354"/>
      <w:bookmarkStart w:id="503" w:name="_Toc382509465"/>
      <w:bookmarkStart w:id="504" w:name="_Toc512354291"/>
      <w:bookmarkStart w:id="505" w:name="_Toc484699853"/>
      <w:bookmarkStart w:id="506" w:name="_Toc10184888"/>
      <w:bookmarkStart w:id="507" w:name="_Toc10122279"/>
      <w:r>
        <w:rPr>
          <w:rStyle w:val="41"/>
          <w:rFonts w:hint="eastAsia"/>
          <w:b/>
          <w:bCs/>
          <w:color w:val="auto"/>
          <w:sz w:val="28"/>
          <w:szCs w:val="28"/>
          <w:highlight w:val="none"/>
        </w:rPr>
        <w:t>格式六</w:t>
      </w:r>
      <w:bookmarkEnd w:id="501"/>
      <w:r>
        <w:rPr>
          <w:rFonts w:hint="eastAsia"/>
          <w:color w:val="auto"/>
          <w:highlight w:val="none"/>
        </w:rPr>
        <w:t xml:space="preserve">                </w:t>
      </w:r>
      <w:bookmarkStart w:id="508" w:name="_Toc12139"/>
      <w:r>
        <w:rPr>
          <w:rFonts w:hint="eastAsia"/>
          <w:color w:val="auto"/>
          <w:highlight w:val="none"/>
        </w:rPr>
        <w:t xml:space="preserve">          </w:t>
      </w:r>
    </w:p>
    <w:p>
      <w:pPr>
        <w:pStyle w:val="6"/>
        <w:jc w:val="center"/>
        <w:rPr>
          <w:rFonts w:ascii="宋体"/>
          <w:color w:val="auto"/>
          <w:sz w:val="24"/>
          <w:szCs w:val="24"/>
          <w:highlight w:val="none"/>
        </w:rPr>
      </w:pPr>
      <w:bookmarkStart w:id="509" w:name="_Toc1407"/>
      <w:r>
        <w:rPr>
          <w:rFonts w:hint="eastAsia"/>
          <w:color w:val="auto"/>
          <w:highlight w:val="none"/>
        </w:rPr>
        <w:t>法人单位授权书及法人授权委托</w:t>
      </w:r>
      <w:bookmarkEnd w:id="502"/>
      <w:bookmarkEnd w:id="503"/>
      <w:bookmarkEnd w:id="504"/>
      <w:bookmarkEnd w:id="505"/>
      <w:bookmarkEnd w:id="508"/>
      <w:r>
        <w:rPr>
          <w:rFonts w:hint="eastAsia"/>
          <w:color w:val="auto"/>
          <w:highlight w:val="none"/>
        </w:rPr>
        <w:t>书</w:t>
      </w:r>
      <w:bookmarkEnd w:id="506"/>
      <w:bookmarkEnd w:id="507"/>
      <w:bookmarkEnd w:id="509"/>
    </w:p>
    <w:p>
      <w:pPr>
        <w:keepNext w:val="0"/>
        <w:keepLines w:val="0"/>
        <w:pageBreakBefore w:val="0"/>
        <w:widowControl/>
        <w:kinsoku/>
        <w:wordWrap/>
        <w:overflowPunct/>
        <w:topLinePunct w:val="0"/>
        <w:bidi w:val="0"/>
        <w:snapToGrid/>
        <w:spacing w:line="420" w:lineRule="exact"/>
        <w:textAlignment w:val="auto"/>
        <w:rPr>
          <w:rFonts w:ascii="宋体"/>
          <w:b/>
          <w:color w:val="auto"/>
          <w:sz w:val="24"/>
          <w:szCs w:val="24"/>
          <w:highlight w:val="none"/>
          <w:u w:val="single"/>
        </w:rPr>
      </w:pPr>
      <w:r>
        <w:rPr>
          <w:rFonts w:hint="eastAsia" w:ascii="宋体" w:cs="宋体"/>
          <w:color w:val="auto"/>
          <w:sz w:val="24"/>
          <w:szCs w:val="24"/>
          <w:highlight w:val="none"/>
          <w:u w:val="single"/>
          <w:lang w:val="zh-CN"/>
        </w:rPr>
        <w:t>（采购人全称）</w:t>
      </w:r>
      <w:r>
        <w:rPr>
          <w:rFonts w:hint="eastAsia" w:ascii="宋体" w:cs="宋体"/>
          <w:color w:val="auto"/>
          <w:sz w:val="24"/>
          <w:szCs w:val="24"/>
          <w:highlight w:val="none"/>
          <w:u w:val="single"/>
          <w:lang w:val="en-US" w:eastAsia="zh-CN"/>
        </w:rPr>
        <w:t xml:space="preserve">          </w:t>
      </w:r>
      <w:r>
        <w:rPr>
          <w:rFonts w:hint="eastAsia" w:ascii="宋体"/>
          <w:color w:val="auto"/>
          <w:sz w:val="24"/>
          <w:szCs w:val="24"/>
          <w:highlight w:val="none"/>
          <w:u w:val="single"/>
        </w:rPr>
        <w:t>：</w:t>
      </w:r>
    </w:p>
    <w:p>
      <w:pPr>
        <w:keepNext w:val="0"/>
        <w:keepLines w:val="0"/>
        <w:pageBreakBefore w:val="0"/>
        <w:widowControl/>
        <w:kinsoku/>
        <w:wordWrap/>
        <w:overflowPunct/>
        <w:topLinePunct w:val="0"/>
        <w:bidi w:val="0"/>
        <w:snapToGrid/>
        <w:spacing w:line="420" w:lineRule="exact"/>
        <w:ind w:firstLine="480" w:firstLineChars="200"/>
        <w:jc w:val="both"/>
        <w:textAlignment w:val="auto"/>
        <w:rPr>
          <w:rFonts w:ascii="宋体" w:cs="宋体"/>
          <w:color w:val="auto"/>
          <w:sz w:val="24"/>
          <w:szCs w:val="24"/>
          <w:highlight w:val="none"/>
          <w:lang w:val="zh-CN"/>
        </w:rPr>
      </w:pPr>
      <w:r>
        <w:rPr>
          <w:rFonts w:hint="eastAsia" w:ascii="宋体" w:cs="宋体"/>
          <w:color w:val="auto"/>
          <w:sz w:val="24"/>
          <w:szCs w:val="24"/>
          <w:highlight w:val="none"/>
          <w:u w:val="single"/>
          <w:lang w:val="zh-CN"/>
        </w:rPr>
        <w:t>（法定代表人姓名）</w:t>
      </w:r>
      <w:r>
        <w:rPr>
          <w:rFonts w:hint="eastAsia" w:ascii="宋体" w:cs="宋体"/>
          <w:color w:val="auto"/>
          <w:sz w:val="24"/>
          <w:szCs w:val="24"/>
          <w:highlight w:val="none"/>
          <w:lang w:val="zh-CN"/>
        </w:rPr>
        <w:t>系注册于</w:t>
      </w:r>
      <w:r>
        <w:rPr>
          <w:rFonts w:hint="eastAsia" w:ascii="宋体" w:cs="宋体"/>
          <w:color w:val="auto"/>
          <w:sz w:val="24"/>
          <w:szCs w:val="24"/>
          <w:highlight w:val="none"/>
          <w:u w:val="single"/>
          <w:lang w:val="zh-CN"/>
        </w:rPr>
        <w:t xml:space="preserve">        （公司地址）     </w:t>
      </w:r>
      <w:r>
        <w:rPr>
          <w:rFonts w:hint="eastAsia" w:ascii="宋体" w:cs="宋体"/>
          <w:color w:val="auto"/>
          <w:sz w:val="24"/>
          <w:szCs w:val="24"/>
          <w:highlight w:val="none"/>
          <w:lang w:val="zh-CN"/>
        </w:rPr>
        <w:t xml:space="preserve">的  </w:t>
      </w:r>
      <w:r>
        <w:rPr>
          <w:rFonts w:hint="eastAsia" w:ascii="宋体" w:cs="宋体"/>
          <w:color w:val="auto"/>
          <w:sz w:val="24"/>
          <w:szCs w:val="24"/>
          <w:highlight w:val="none"/>
          <w:u w:val="single"/>
          <w:lang w:val="zh-CN"/>
        </w:rPr>
        <w:t>（公司名称）</w:t>
      </w:r>
      <w:r>
        <w:rPr>
          <w:rFonts w:hint="eastAsia" w:ascii="宋体" w:cs="宋体"/>
          <w:color w:val="auto"/>
          <w:sz w:val="24"/>
          <w:szCs w:val="24"/>
          <w:highlight w:val="none"/>
          <w:lang w:val="zh-CN"/>
        </w:rPr>
        <w:t>的法定代表人，现代表公司授权</w:t>
      </w:r>
      <w:r>
        <w:rPr>
          <w:rFonts w:hint="eastAsia" w:ascii="宋体" w:cs="宋体"/>
          <w:color w:val="auto"/>
          <w:sz w:val="24"/>
          <w:szCs w:val="24"/>
          <w:highlight w:val="none"/>
          <w:u w:val="single"/>
          <w:lang w:val="zh-CN"/>
        </w:rPr>
        <w:t xml:space="preserve">                        （被授权人姓名，身份证号码）</w:t>
      </w:r>
      <w:r>
        <w:rPr>
          <w:rFonts w:hint="eastAsia" w:ascii="宋体" w:cs="宋体"/>
          <w:color w:val="auto"/>
          <w:sz w:val="24"/>
          <w:szCs w:val="24"/>
          <w:highlight w:val="none"/>
          <w:lang w:val="zh-CN"/>
        </w:rPr>
        <w:t>为我公司合法代理人，代表本公司参加</w:t>
      </w:r>
      <w:r>
        <w:rPr>
          <w:rFonts w:hint="eastAsia" w:ascii="宋体" w:cs="宋体"/>
          <w:color w:val="auto"/>
          <w:sz w:val="24"/>
          <w:szCs w:val="24"/>
          <w:highlight w:val="none"/>
          <w:u w:val="single"/>
          <w:lang w:val="zh-CN"/>
        </w:rPr>
        <w:t>（项目名称）</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报价、谈判、签约、履约等具体工作，并签署全部有关的文件、协议及合同。</w:t>
      </w:r>
    </w:p>
    <w:p>
      <w:pPr>
        <w:keepNext w:val="0"/>
        <w:keepLines w:val="0"/>
        <w:pageBreakBefore w:val="0"/>
        <w:widowControl/>
        <w:kinsoku/>
        <w:wordWrap/>
        <w:overflowPunct/>
        <w:topLinePunct w:val="0"/>
        <w:autoSpaceDE w:val="0"/>
        <w:autoSpaceDN w:val="0"/>
        <w:bidi w:val="0"/>
        <w:adjustRightInd w:val="0"/>
        <w:snapToGrid/>
        <w:spacing w:line="420" w:lineRule="exact"/>
        <w:ind w:firstLine="480" w:firstLineChars="200"/>
        <w:jc w:val="both"/>
        <w:textAlignment w:val="auto"/>
        <w:rPr>
          <w:rFonts w:ascii="宋体" w:cs="宋体"/>
          <w:color w:val="auto"/>
          <w:sz w:val="24"/>
          <w:szCs w:val="24"/>
          <w:highlight w:val="none"/>
          <w:lang w:val="zh-CN"/>
        </w:rPr>
      </w:pPr>
      <w:r>
        <w:rPr>
          <w:rFonts w:hint="eastAsia" w:ascii="宋体" w:cs="宋体"/>
          <w:color w:val="auto"/>
          <w:sz w:val="24"/>
          <w:szCs w:val="24"/>
          <w:highlight w:val="none"/>
          <w:lang w:val="zh-CN"/>
        </w:rPr>
        <w:t>我公司对被授权人的签名负全部责任。</w:t>
      </w:r>
    </w:p>
    <w:p>
      <w:pPr>
        <w:keepNext w:val="0"/>
        <w:keepLines w:val="0"/>
        <w:pageBreakBefore w:val="0"/>
        <w:widowControl/>
        <w:kinsoku/>
        <w:wordWrap/>
        <w:overflowPunct/>
        <w:topLinePunct w:val="0"/>
        <w:autoSpaceDE w:val="0"/>
        <w:autoSpaceDN w:val="0"/>
        <w:bidi w:val="0"/>
        <w:adjustRightInd w:val="0"/>
        <w:snapToGrid/>
        <w:spacing w:line="420" w:lineRule="exact"/>
        <w:ind w:firstLine="480" w:firstLineChars="200"/>
        <w:jc w:val="both"/>
        <w:textAlignment w:val="auto"/>
        <w:rPr>
          <w:rFonts w:ascii="宋体" w:cs="宋体"/>
          <w:color w:val="auto"/>
          <w:sz w:val="24"/>
          <w:szCs w:val="24"/>
          <w:highlight w:val="none"/>
          <w:lang w:val="zh-CN"/>
        </w:rPr>
      </w:pPr>
      <w:r>
        <w:rPr>
          <w:rFonts w:hint="eastAsia" w:ascii="宋体" w:cs="宋体"/>
          <w:color w:val="auto"/>
          <w:sz w:val="24"/>
          <w:szCs w:val="24"/>
          <w:highlight w:val="none"/>
          <w:lang w:val="zh-CN"/>
        </w:rPr>
        <w:t>本授权书于</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年</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月</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日签字生效，被授权人签署的所有文件不因授权的撤销而失效。</w:t>
      </w:r>
    </w:p>
    <w:p>
      <w:pPr>
        <w:keepNext w:val="0"/>
        <w:keepLines w:val="0"/>
        <w:pageBreakBefore w:val="0"/>
        <w:widowControl/>
        <w:kinsoku/>
        <w:wordWrap/>
        <w:overflowPunct/>
        <w:topLinePunct w:val="0"/>
        <w:autoSpaceDE w:val="0"/>
        <w:autoSpaceDN w:val="0"/>
        <w:bidi w:val="0"/>
        <w:adjustRightInd w:val="0"/>
        <w:snapToGrid/>
        <w:spacing w:line="420" w:lineRule="exact"/>
        <w:ind w:firstLine="480" w:firstLineChars="200"/>
        <w:textAlignment w:val="auto"/>
        <w:rPr>
          <w:rFonts w:ascii="宋体" w:cs="宋体"/>
          <w:color w:val="auto"/>
          <w:sz w:val="24"/>
          <w:szCs w:val="24"/>
          <w:highlight w:val="none"/>
          <w:lang w:val="zh-CN"/>
        </w:rPr>
      </w:pPr>
    </w:p>
    <w:p>
      <w:pPr>
        <w:keepNext w:val="0"/>
        <w:keepLines w:val="0"/>
        <w:pageBreakBefore w:val="0"/>
        <w:widowControl/>
        <w:kinsoku/>
        <w:wordWrap/>
        <w:overflowPunct/>
        <w:topLinePunct w:val="0"/>
        <w:bidi w:val="0"/>
        <w:snapToGrid/>
        <w:spacing w:line="420" w:lineRule="exact"/>
        <w:ind w:firstLine="484" w:firstLineChars="202"/>
        <w:textAlignment w:val="auto"/>
        <w:rPr>
          <w:rFonts w:ascii="宋体"/>
          <w:color w:val="auto"/>
          <w:sz w:val="24"/>
          <w:szCs w:val="24"/>
          <w:highlight w:val="none"/>
        </w:rPr>
      </w:pPr>
      <w:r>
        <w:rPr>
          <w:rFonts w:hint="eastAsia" w:ascii="宋体"/>
          <w:color w:val="auto"/>
          <w:sz w:val="24"/>
          <w:szCs w:val="24"/>
          <w:highlight w:val="none"/>
        </w:rPr>
        <w:t>公司名称（公章）：</w:t>
      </w:r>
    </w:p>
    <w:p>
      <w:pPr>
        <w:keepNext w:val="0"/>
        <w:keepLines w:val="0"/>
        <w:pageBreakBefore w:val="0"/>
        <w:widowControl/>
        <w:kinsoku/>
        <w:wordWrap/>
        <w:overflowPunct/>
        <w:topLinePunct w:val="0"/>
        <w:autoSpaceDE w:val="0"/>
        <w:autoSpaceDN w:val="0"/>
        <w:bidi w:val="0"/>
        <w:adjustRightInd w:val="0"/>
        <w:snapToGrid/>
        <w:spacing w:line="420" w:lineRule="exact"/>
        <w:ind w:firstLine="484" w:firstLineChars="202"/>
        <w:textAlignment w:val="auto"/>
        <w:rPr>
          <w:rFonts w:ascii="宋体" w:cs="宋体"/>
          <w:color w:val="auto"/>
          <w:sz w:val="24"/>
          <w:szCs w:val="24"/>
          <w:highlight w:val="none"/>
          <w:u w:val="single"/>
          <w:lang w:val="zh-CN"/>
        </w:rPr>
      </w:pPr>
      <w:r>
        <w:rPr>
          <w:rFonts w:hint="eastAsia" w:ascii="宋体" w:cs="宋体"/>
          <w:color w:val="auto"/>
          <w:sz w:val="24"/>
          <w:szCs w:val="24"/>
          <w:highlight w:val="none"/>
          <w:lang w:val="zh-CN"/>
        </w:rPr>
        <w:t>授权人（签字</w:t>
      </w:r>
      <w:r>
        <w:rPr>
          <w:rFonts w:hint="eastAsia" w:ascii="宋体" w:cs="宋体"/>
          <w:color w:val="auto"/>
          <w:sz w:val="24"/>
          <w:szCs w:val="24"/>
          <w:highlight w:val="none"/>
          <w:lang w:val="en-US" w:eastAsia="zh-CN"/>
        </w:rPr>
        <w:t>或印鉴</w:t>
      </w:r>
      <w:r>
        <w:rPr>
          <w:rFonts w:hint="eastAsia" w:ascii="宋体" w:cs="宋体"/>
          <w:color w:val="auto"/>
          <w:sz w:val="24"/>
          <w:szCs w:val="24"/>
          <w:highlight w:val="none"/>
          <w:lang w:val="zh-CN"/>
        </w:rPr>
        <w:t>）：</w:t>
      </w:r>
    </w:p>
    <w:p>
      <w:pPr>
        <w:keepNext w:val="0"/>
        <w:keepLines w:val="0"/>
        <w:pageBreakBefore w:val="0"/>
        <w:widowControl/>
        <w:kinsoku/>
        <w:wordWrap/>
        <w:overflowPunct/>
        <w:topLinePunct w:val="0"/>
        <w:bidi w:val="0"/>
        <w:snapToGrid/>
        <w:spacing w:line="420" w:lineRule="exact"/>
        <w:ind w:firstLine="484" w:firstLineChars="202"/>
        <w:textAlignment w:val="auto"/>
        <w:rPr>
          <w:rFonts w:ascii="宋体"/>
          <w:color w:val="auto"/>
          <w:sz w:val="24"/>
          <w:szCs w:val="24"/>
          <w:highlight w:val="none"/>
          <w:u w:val="single"/>
        </w:rPr>
      </w:pPr>
      <w:r>
        <w:rPr>
          <w:rFonts w:hint="eastAsia" w:ascii="宋体" w:cs="宋体"/>
          <w:color w:val="auto"/>
          <w:sz w:val="24"/>
          <w:szCs w:val="24"/>
          <w:highlight w:val="none"/>
          <w:lang w:val="en-US" w:eastAsia="zh-CN"/>
        </w:rPr>
        <w:t>授权代表</w:t>
      </w:r>
      <w:r>
        <w:rPr>
          <w:rFonts w:hint="eastAsia" w:ascii="宋体" w:cs="宋体"/>
          <w:color w:val="auto"/>
          <w:sz w:val="24"/>
          <w:szCs w:val="24"/>
          <w:highlight w:val="none"/>
          <w:lang w:val="zh-CN"/>
        </w:rPr>
        <w:t>（签字</w:t>
      </w:r>
      <w:r>
        <w:rPr>
          <w:rFonts w:hint="eastAsia" w:ascii="宋体" w:cs="宋体"/>
          <w:color w:val="auto"/>
          <w:sz w:val="24"/>
          <w:szCs w:val="24"/>
          <w:highlight w:val="none"/>
          <w:lang w:val="en-US" w:eastAsia="zh-CN"/>
        </w:rPr>
        <w:t>或印鉴</w:t>
      </w:r>
      <w:r>
        <w:rPr>
          <w:rFonts w:hint="eastAsia" w:ascii="宋体" w:cs="宋体"/>
          <w:color w:val="auto"/>
          <w:sz w:val="24"/>
          <w:szCs w:val="24"/>
          <w:highlight w:val="none"/>
          <w:lang w:val="zh-CN"/>
        </w:rPr>
        <w:t>）：</w:t>
      </w:r>
    </w:p>
    <w:p>
      <w:pPr>
        <w:keepNext w:val="0"/>
        <w:keepLines w:val="0"/>
        <w:pageBreakBefore w:val="0"/>
        <w:widowControl/>
        <w:kinsoku/>
        <w:wordWrap/>
        <w:overflowPunct/>
        <w:topLinePunct w:val="0"/>
        <w:bidi w:val="0"/>
        <w:snapToGrid/>
        <w:spacing w:line="420" w:lineRule="exact"/>
        <w:ind w:firstLine="484" w:firstLineChars="202"/>
        <w:textAlignment w:val="auto"/>
        <w:rPr>
          <w:rFonts w:ascii="宋体"/>
          <w:color w:val="auto"/>
          <w:sz w:val="24"/>
          <w:szCs w:val="24"/>
          <w:highlight w:val="none"/>
        </w:rPr>
      </w:pPr>
      <w:r>
        <w:rPr>
          <w:rFonts w:hint="eastAsia" w:ascii="宋体"/>
          <w:color w:val="auto"/>
          <w:sz w:val="24"/>
          <w:szCs w:val="24"/>
          <w:highlight w:val="none"/>
        </w:rPr>
        <w:t>日    期：    年    月    日</w:t>
      </w:r>
    </w:p>
    <w:p>
      <w:pPr>
        <w:tabs>
          <w:tab w:val="left" w:pos="720"/>
          <w:tab w:val="left" w:pos="900"/>
        </w:tabs>
        <w:autoSpaceDE w:val="0"/>
        <w:autoSpaceDN w:val="0"/>
        <w:adjustRightInd w:val="0"/>
        <w:spacing w:line="360" w:lineRule="auto"/>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480" w:firstLineChars="200"/>
        <w:jc w:val="left"/>
        <w:rPr>
          <w:rFonts w:hint="eastAsia" w:ascii="宋体"/>
          <w:color w:val="auto"/>
          <w:sz w:val="24"/>
          <w:szCs w:val="24"/>
          <w:highlight w:val="none"/>
        </w:rPr>
      </w:pPr>
      <w:bookmarkStart w:id="510" w:name="_Toc32416_WPSOffice_Level2"/>
      <w:r>
        <w:rPr>
          <w:rFonts w:hint="eastAsia" w:ascii="宋体" w:cs="宋体"/>
          <w:color w:val="auto"/>
          <w:sz w:val="24"/>
          <w:szCs w:val="24"/>
          <w:highlight w:val="none"/>
          <w:lang w:val="zh-CN"/>
        </w:rPr>
        <w:t>附</w:t>
      </w:r>
      <w:r>
        <w:rPr>
          <w:rFonts w:hint="eastAsia" w:ascii="宋体" w:cs="宋体"/>
          <w:color w:val="auto"/>
          <w:sz w:val="24"/>
          <w:szCs w:val="24"/>
          <w:highlight w:val="none"/>
          <w:lang w:val="en-US" w:eastAsia="zh-CN"/>
        </w:rPr>
        <w:t>授权代表</w:t>
      </w:r>
      <w:r>
        <w:rPr>
          <w:rFonts w:hint="eastAsia" w:ascii="宋体" w:cs="宋体"/>
          <w:color w:val="auto"/>
          <w:sz w:val="24"/>
          <w:szCs w:val="24"/>
          <w:highlight w:val="none"/>
          <w:lang w:val="zh-CN"/>
        </w:rPr>
        <w:t>姓名身份证</w:t>
      </w:r>
      <w:bookmarkEnd w:id="510"/>
      <w:r>
        <w:rPr>
          <w:rFonts w:hint="eastAsia" w:ascii="宋体"/>
          <w:color w:val="auto"/>
          <w:sz w:val="24"/>
          <w:szCs w:val="24"/>
          <w:highlight w:val="none"/>
        </w:rPr>
        <w:t>复印件</w:t>
      </w:r>
    </w:p>
    <w:p>
      <w:pPr>
        <w:pStyle w:val="8"/>
        <w:jc w:val="left"/>
        <w:rPr>
          <w:color w:val="auto"/>
          <w:highlight w:val="none"/>
          <w:lang w:val="zh-CN"/>
        </w:rPr>
      </w:pPr>
      <w:r>
        <w:rPr>
          <w:rFonts w:hint="eastAsia" w:ascii="宋体" w:hAnsi="宋体" w:eastAsia="宋体" w:cs="宋体"/>
          <w:b w:val="0"/>
          <w:color w:val="auto"/>
          <w:sz w:val="24"/>
          <w:szCs w:val="24"/>
          <w:highlight w:val="none"/>
        </w:rPr>
        <w:t>供应商法人授权代表需提供本人在供应商单位近半年社保证明文件</w:t>
      </w: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p>
    <w:p>
      <w:pPr>
        <w:widowControl w:val="0"/>
        <w:tabs>
          <w:tab w:val="left" w:pos="360"/>
          <w:tab w:val="left" w:pos="720"/>
          <w:tab w:val="left" w:pos="3060"/>
        </w:tabs>
        <w:spacing w:line="400" w:lineRule="exact"/>
        <w:jc w:val="both"/>
        <w:rPr>
          <w:rFonts w:ascii="宋体"/>
          <w:b/>
          <w:color w:val="auto"/>
          <w:kern w:val="2"/>
          <w:sz w:val="24"/>
          <w:szCs w:val="24"/>
          <w:highlight w:val="none"/>
        </w:rPr>
      </w:pPr>
      <w:r>
        <w:rPr>
          <w:rFonts w:ascii="宋体"/>
          <w:b/>
          <w:color w:val="auto"/>
          <w:kern w:val="2"/>
          <w:sz w:val="24"/>
          <w:szCs w:val="24"/>
          <w:highlight w:val="none"/>
        </w:rPr>
        <w:br w:type="page"/>
      </w:r>
      <w:bookmarkStart w:id="511" w:name="_Toc382509467"/>
    </w:p>
    <w:bookmarkEnd w:id="511"/>
    <w:p>
      <w:pPr>
        <w:pStyle w:val="6"/>
        <w:rPr>
          <w:rFonts w:hint="eastAsia"/>
          <w:color w:val="auto"/>
          <w:highlight w:val="none"/>
        </w:rPr>
      </w:pPr>
      <w:bookmarkStart w:id="512" w:name="_Toc22713"/>
      <w:bookmarkStart w:id="513" w:name="_Toc382509469"/>
      <w:bookmarkStart w:id="514" w:name="_Toc484699856"/>
      <w:bookmarkStart w:id="515" w:name="_Toc512354294"/>
      <w:bookmarkStart w:id="516" w:name="_Toc10122280"/>
      <w:bookmarkStart w:id="517" w:name="_Toc10184889"/>
      <w:bookmarkStart w:id="518" w:name="_Toc10471"/>
      <w:r>
        <w:rPr>
          <w:rStyle w:val="41"/>
          <w:rFonts w:hint="eastAsia"/>
          <w:b/>
          <w:bCs/>
          <w:color w:val="auto"/>
          <w:sz w:val="28"/>
          <w:szCs w:val="28"/>
          <w:highlight w:val="none"/>
        </w:rPr>
        <w:t>格式七</w:t>
      </w:r>
      <w:bookmarkEnd w:id="512"/>
      <w:r>
        <w:rPr>
          <w:rStyle w:val="41"/>
          <w:rFonts w:hint="eastAsia"/>
          <w:b/>
          <w:bCs/>
          <w:color w:val="auto"/>
          <w:sz w:val="28"/>
          <w:szCs w:val="28"/>
          <w:highlight w:val="none"/>
        </w:rPr>
        <w:t xml:space="preserve"> </w:t>
      </w:r>
      <w:r>
        <w:rPr>
          <w:rFonts w:hint="eastAsia"/>
          <w:color w:val="auto"/>
          <w:highlight w:val="none"/>
        </w:rPr>
        <w:t xml:space="preserve">                          </w:t>
      </w:r>
      <w:bookmarkEnd w:id="513"/>
      <w:bookmarkEnd w:id="514"/>
      <w:bookmarkEnd w:id="515"/>
    </w:p>
    <w:p>
      <w:pPr>
        <w:pStyle w:val="6"/>
        <w:jc w:val="center"/>
        <w:rPr>
          <w:rFonts w:ascii="宋体"/>
          <w:color w:val="auto"/>
          <w:sz w:val="24"/>
          <w:szCs w:val="24"/>
          <w:highlight w:val="none"/>
        </w:rPr>
      </w:pPr>
      <w:bookmarkStart w:id="519" w:name="_Toc32556"/>
      <w:r>
        <w:rPr>
          <w:rFonts w:hint="eastAsia"/>
          <w:color w:val="auto"/>
          <w:highlight w:val="none"/>
        </w:rPr>
        <w:t>供应商资格证明文件</w:t>
      </w:r>
      <w:bookmarkEnd w:id="516"/>
      <w:bookmarkEnd w:id="517"/>
      <w:bookmarkEnd w:id="518"/>
      <w:bookmarkEnd w:id="519"/>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bookmarkStart w:id="520" w:name="_Toc27559"/>
      <w:bookmarkStart w:id="521" w:name="_Toc484699860"/>
      <w:bookmarkStart w:id="522" w:name="_Toc10184890"/>
      <w:bookmarkStart w:id="523" w:name="_Toc10122281"/>
      <w:bookmarkStart w:id="524" w:name="_Toc512354298"/>
      <w:r>
        <w:rPr>
          <w:rFonts w:hint="default" w:ascii="宋体" w:hAnsi="宋体" w:eastAsia="宋体" w:cs="宋体"/>
          <w:color w:val="auto"/>
          <w:sz w:val="21"/>
          <w:szCs w:val="21"/>
          <w:highlight w:val="none"/>
        </w:rPr>
        <w:t>（1）供应商必须是合格的独立法人企业，且具有履行合同能力的增值税一般纳税人，供应商没有处于被责令停业、财产被接管、冻结、破产状态；</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en-US" w:eastAsia="zh-CN"/>
        </w:rPr>
        <w:t>如为本次投标产品的代理商，需提供主要产品制造商的授权证明（主要产品含蓄电池）。</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供应商应具有</w:t>
      </w:r>
      <w:r>
        <w:rPr>
          <w:rFonts w:hint="default" w:ascii="宋体" w:hAnsi="宋体" w:eastAsia="宋体" w:cs="宋体"/>
          <w:color w:val="auto"/>
          <w:sz w:val="21"/>
          <w:szCs w:val="21"/>
          <w:highlight w:val="none"/>
        </w:rPr>
        <w:t>电子与智能化工程专业承包贰级</w:t>
      </w:r>
      <w:r>
        <w:rPr>
          <w:rFonts w:hint="eastAsia" w:ascii="宋体" w:hAnsi="宋体" w:eastAsia="宋体" w:cs="宋体"/>
          <w:color w:val="auto"/>
          <w:sz w:val="21"/>
          <w:szCs w:val="21"/>
          <w:highlight w:val="none"/>
          <w:lang w:val="en-US" w:eastAsia="zh-CN"/>
        </w:rPr>
        <w:t>资质</w:t>
      </w:r>
      <w:r>
        <w:rPr>
          <w:rFonts w:hint="eastAsia" w:ascii="宋体" w:hAnsi="宋体" w:eastAsia="宋体" w:cs="宋体"/>
          <w:color w:val="auto"/>
          <w:sz w:val="21"/>
          <w:szCs w:val="21"/>
          <w:highlight w:val="none"/>
          <w:lang w:eastAsia="zh-CN"/>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default" w:ascii="宋体" w:hAnsi="宋体" w:eastAsia="宋体" w:cs="宋体"/>
          <w:color w:val="auto"/>
          <w:sz w:val="21"/>
          <w:szCs w:val="21"/>
          <w:highlight w:val="none"/>
        </w:rPr>
        <w:t>）供应商及所投产品须具有满足本项目的国家</w:t>
      </w:r>
      <w:r>
        <w:rPr>
          <w:rFonts w:hint="default" w:ascii="宋体" w:hAnsi="宋体" w:eastAsia="宋体" w:cs="宋体"/>
          <w:color w:val="auto"/>
          <w:sz w:val="21"/>
          <w:szCs w:val="21"/>
          <w:highlight w:val="none"/>
          <w:lang w:val="en-US" w:eastAsia="zh-CN"/>
        </w:rPr>
        <w:t>和地方</w:t>
      </w:r>
      <w:r>
        <w:rPr>
          <w:rFonts w:hint="default" w:ascii="宋体" w:hAnsi="宋体" w:eastAsia="宋体" w:cs="宋体"/>
          <w:color w:val="auto"/>
          <w:sz w:val="21"/>
          <w:szCs w:val="21"/>
          <w:highlight w:val="none"/>
        </w:rPr>
        <w:t>强制许可资质；</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default" w:ascii="宋体" w:hAnsi="宋体" w:eastAsia="宋体" w:cs="宋体"/>
          <w:color w:val="auto"/>
          <w:sz w:val="21"/>
          <w:szCs w:val="21"/>
          <w:highlight w:val="none"/>
        </w:rPr>
        <w:t>）供应商在信用中国网站（www.creditchina.gov.cn）等渠道未列入失信被执行人；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default" w:ascii="宋体" w:hAnsi="宋体" w:eastAsia="宋体" w:cs="宋体"/>
          <w:color w:val="auto"/>
          <w:sz w:val="21"/>
          <w:szCs w:val="21"/>
          <w:highlight w:val="none"/>
        </w:rPr>
        <w:t>）本项目是否接受联合体报价：不接受联合体报价。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color w:val="auto"/>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default" w:ascii="宋体" w:hAnsi="宋体" w:eastAsia="宋体" w:cs="宋体"/>
          <w:color w:val="auto"/>
          <w:sz w:val="21"/>
          <w:szCs w:val="21"/>
          <w:highlight w:val="none"/>
        </w:rPr>
        <w:t>）单位负责人为同一人或者存在控股、管理关系的不同单位，不得同时对本项目报价。</w:t>
      </w:r>
      <w:r>
        <w:rPr>
          <w:rFonts w:ascii="宋体"/>
          <w:b/>
          <w:color w:val="auto"/>
          <w:kern w:val="2"/>
          <w:sz w:val="24"/>
          <w:szCs w:val="24"/>
          <w:highlight w:val="none"/>
        </w:rPr>
        <w:br w:type="page"/>
      </w:r>
      <w:bookmarkStart w:id="525" w:name="_Toc15839"/>
      <w:r>
        <w:rPr>
          <w:rStyle w:val="41"/>
          <w:rFonts w:hint="eastAsia"/>
          <w:b/>
          <w:bCs/>
          <w:color w:val="auto"/>
          <w:sz w:val="28"/>
          <w:szCs w:val="28"/>
          <w:highlight w:val="none"/>
        </w:rPr>
        <w:t>格式八</w:t>
      </w:r>
      <w:bookmarkEnd w:id="525"/>
      <w:r>
        <w:rPr>
          <w:rStyle w:val="41"/>
          <w:rFonts w:hint="eastAsia"/>
          <w:b/>
          <w:bCs/>
          <w:color w:val="auto"/>
          <w:sz w:val="28"/>
          <w:szCs w:val="28"/>
          <w:highlight w:val="none"/>
        </w:rPr>
        <w:t xml:space="preserve"> </w:t>
      </w:r>
      <w:r>
        <w:rPr>
          <w:rFonts w:hint="eastAsia"/>
          <w:color w:val="auto"/>
          <w:highlight w:val="none"/>
        </w:rPr>
        <w:t xml:space="preserve">                        </w:t>
      </w:r>
    </w:p>
    <w:p>
      <w:pPr>
        <w:pStyle w:val="6"/>
        <w:jc w:val="center"/>
        <w:rPr>
          <w:color w:val="auto"/>
          <w:highlight w:val="none"/>
        </w:rPr>
      </w:pPr>
      <w:bookmarkStart w:id="526" w:name="_Toc29781"/>
      <w:r>
        <w:rPr>
          <w:rFonts w:hint="eastAsia"/>
          <w:color w:val="auto"/>
          <w:highlight w:val="none"/>
        </w:rPr>
        <w:t>供应商</w:t>
      </w:r>
      <w:r>
        <w:rPr>
          <w:color w:val="auto"/>
          <w:highlight w:val="none"/>
        </w:rPr>
        <w:t>资料真实性承诺书</w:t>
      </w:r>
      <w:bookmarkEnd w:id="520"/>
      <w:bookmarkEnd w:id="521"/>
      <w:bookmarkEnd w:id="522"/>
      <w:bookmarkEnd w:id="523"/>
      <w:bookmarkEnd w:id="524"/>
      <w:bookmarkEnd w:id="526"/>
    </w:p>
    <w:p>
      <w:pPr>
        <w:pStyle w:val="25"/>
        <w:shd w:val="clear" w:color="auto" w:fill="FFFFFF"/>
        <w:spacing w:before="0" w:beforeAutospacing="0" w:after="0" w:afterAutospacing="0" w:line="560" w:lineRule="exact"/>
        <w:textAlignment w:val="baseline"/>
        <w:rPr>
          <w:color w:val="auto"/>
          <w:highlight w:val="none"/>
        </w:rPr>
      </w:pPr>
    </w:p>
    <w:p>
      <w:pPr>
        <w:spacing w:line="360" w:lineRule="auto"/>
        <w:rPr>
          <w:rFonts w:ascii="宋体"/>
          <w:color w:val="auto"/>
          <w:sz w:val="24"/>
          <w:szCs w:val="24"/>
          <w:highlight w:val="none"/>
          <w:u w:val="single"/>
        </w:rPr>
      </w:pPr>
      <w:r>
        <w:rPr>
          <w:rFonts w:hint="eastAsia" w:ascii="宋体"/>
          <w:color w:val="auto"/>
          <w:sz w:val="24"/>
          <w:szCs w:val="24"/>
          <w:highlight w:val="none"/>
          <w:u w:val="single"/>
        </w:rPr>
        <w:t>（采购人全称）：</w:t>
      </w:r>
    </w:p>
    <w:p>
      <w:pPr>
        <w:pStyle w:val="25"/>
        <w:shd w:val="clear" w:color="auto" w:fill="FFFFFF"/>
        <w:spacing w:before="0" w:beforeAutospacing="0" w:after="0" w:afterAutospacing="0" w:line="560" w:lineRule="exact"/>
        <w:ind w:firstLine="480" w:firstLineChars="200"/>
        <w:textAlignment w:val="baseline"/>
        <w:rPr>
          <w:color w:val="auto"/>
          <w:highlight w:val="none"/>
        </w:rPr>
      </w:pPr>
      <w:r>
        <w:rPr>
          <w:rFonts w:hint="eastAsia"/>
          <w:color w:val="auto"/>
          <w:highlight w:val="none"/>
        </w:rPr>
        <w:t>我单位</w:t>
      </w:r>
      <w:r>
        <w:rPr>
          <w:rFonts w:hint="eastAsia"/>
          <w:color w:val="auto"/>
          <w:highlight w:val="none"/>
          <w:u w:val="single"/>
        </w:rPr>
        <w:t xml:space="preserve">   （单位全称）   </w:t>
      </w:r>
      <w:r>
        <w:rPr>
          <w:color w:val="auto"/>
          <w:highlight w:val="none"/>
        </w:rPr>
        <w:t>郑重承诺：</w:t>
      </w:r>
    </w:p>
    <w:p>
      <w:pPr>
        <w:pStyle w:val="25"/>
        <w:shd w:val="clear" w:color="auto" w:fill="FFFFFF"/>
        <w:spacing w:before="0" w:beforeAutospacing="0" w:after="0" w:afterAutospacing="0" w:line="560" w:lineRule="exact"/>
        <w:ind w:firstLine="480" w:firstLineChars="200"/>
        <w:jc w:val="both"/>
        <w:textAlignment w:val="baseline"/>
        <w:rPr>
          <w:color w:val="auto"/>
          <w:highlight w:val="none"/>
        </w:rPr>
      </w:pPr>
      <w:r>
        <w:rPr>
          <w:rFonts w:hint="eastAsia"/>
          <w:color w:val="auto"/>
          <w:highlight w:val="none"/>
        </w:rPr>
        <w:t>在项目采购中，</w:t>
      </w:r>
      <w:r>
        <w:rPr>
          <w:color w:val="auto"/>
          <w:highlight w:val="none"/>
        </w:rPr>
        <w:t>提交的所有资料都是真实的</w:t>
      </w:r>
      <w:r>
        <w:rPr>
          <w:rFonts w:hint="eastAsia"/>
          <w:color w:val="auto"/>
          <w:highlight w:val="none"/>
        </w:rPr>
        <w:t>、有效的</w:t>
      </w:r>
      <w:r>
        <w:rPr>
          <w:color w:val="auto"/>
          <w:highlight w:val="none"/>
        </w:rPr>
        <w:t>。如有虚假</w:t>
      </w:r>
      <w:r>
        <w:rPr>
          <w:rFonts w:hint="eastAsia"/>
          <w:color w:val="auto"/>
          <w:highlight w:val="none"/>
        </w:rPr>
        <w:t>、无效的资料</w:t>
      </w:r>
      <w:r>
        <w:rPr>
          <w:color w:val="auto"/>
          <w:highlight w:val="none"/>
        </w:rPr>
        <w:t>，本单位愿意</w:t>
      </w:r>
      <w:r>
        <w:rPr>
          <w:rFonts w:hint="eastAsia"/>
          <w:color w:val="auto"/>
          <w:highlight w:val="none"/>
        </w:rPr>
        <w:t>承担被</w:t>
      </w:r>
      <w:r>
        <w:rPr>
          <w:color w:val="auto"/>
          <w:highlight w:val="none"/>
        </w:rPr>
        <w:t>取消</w:t>
      </w:r>
      <w:r>
        <w:rPr>
          <w:rFonts w:hint="eastAsia"/>
          <w:color w:val="auto"/>
          <w:highlight w:val="none"/>
        </w:rPr>
        <w:t>报价</w:t>
      </w:r>
      <w:r>
        <w:rPr>
          <w:color w:val="auto"/>
          <w:highlight w:val="none"/>
        </w:rPr>
        <w:t>、</w:t>
      </w:r>
      <w:r>
        <w:rPr>
          <w:color w:val="auto"/>
          <w:highlight w:val="none"/>
        </w:rPr>
        <w:fldChar w:fldCharType="begin"/>
      </w:r>
      <w:r>
        <w:rPr>
          <w:color w:val="auto"/>
          <w:highlight w:val="none"/>
        </w:rPr>
        <w:instrText xml:space="preserve"> HYPERLINK "http://www.lawtime.cn/info/zhaobiaotoubiao/zhongbiao/" </w:instrText>
      </w:r>
      <w:r>
        <w:rPr>
          <w:color w:val="auto"/>
          <w:highlight w:val="none"/>
        </w:rPr>
        <w:fldChar w:fldCharType="separate"/>
      </w:r>
      <w:r>
        <w:rPr>
          <w:rStyle w:val="33"/>
          <w:rFonts w:hint="eastAsia"/>
          <w:color w:val="auto"/>
          <w:highlight w:val="none"/>
        </w:rPr>
        <w:t>成交</w:t>
      </w:r>
      <w:r>
        <w:rPr>
          <w:rStyle w:val="33"/>
          <w:rFonts w:hint="eastAsia"/>
          <w:color w:val="auto"/>
          <w:highlight w:val="none"/>
        </w:rPr>
        <w:fldChar w:fldCharType="end"/>
      </w:r>
      <w:r>
        <w:rPr>
          <w:color w:val="auto"/>
          <w:highlight w:val="none"/>
        </w:rPr>
        <w:t>资格</w:t>
      </w:r>
      <w:r>
        <w:rPr>
          <w:rFonts w:hint="eastAsia"/>
          <w:color w:val="auto"/>
          <w:highlight w:val="none"/>
        </w:rPr>
        <w:t>等一切</w:t>
      </w:r>
      <w:r>
        <w:rPr>
          <w:color w:val="auto"/>
          <w:highlight w:val="none"/>
        </w:rPr>
        <w:fldChar w:fldCharType="begin"/>
      </w:r>
      <w:r>
        <w:rPr>
          <w:color w:val="auto"/>
          <w:highlight w:val="none"/>
        </w:rPr>
        <w:instrText xml:space="preserve"> HYPERLINK "http://www.lawtime.cn/info/zhian/cfcxjueding/" </w:instrText>
      </w:r>
      <w:r>
        <w:rPr>
          <w:color w:val="auto"/>
          <w:highlight w:val="none"/>
        </w:rPr>
        <w:fldChar w:fldCharType="separate"/>
      </w:r>
      <w:r>
        <w:rPr>
          <w:rStyle w:val="33"/>
          <w:rFonts w:hint="eastAsia"/>
          <w:color w:val="auto"/>
          <w:highlight w:val="none"/>
        </w:rPr>
        <w:t>后果</w:t>
      </w:r>
      <w:r>
        <w:rPr>
          <w:rStyle w:val="33"/>
          <w:rFonts w:hint="eastAsia"/>
          <w:color w:val="auto"/>
          <w:highlight w:val="none"/>
        </w:rPr>
        <w:fldChar w:fldCharType="end"/>
      </w:r>
      <w:r>
        <w:rPr>
          <w:color w:val="auto"/>
          <w:highlight w:val="none"/>
        </w:rPr>
        <w:t>。</w:t>
      </w:r>
    </w:p>
    <w:p>
      <w:pPr>
        <w:pStyle w:val="25"/>
        <w:shd w:val="clear" w:color="auto" w:fill="FFFFFF"/>
        <w:spacing w:before="340" w:beforeAutospacing="0" w:after="340" w:afterAutospacing="0" w:line="380" w:lineRule="atLeast"/>
        <w:ind w:firstLine="4250" w:firstLineChars="1771"/>
        <w:textAlignment w:val="baseline"/>
        <w:rPr>
          <w:color w:val="auto"/>
          <w:highlight w:val="none"/>
        </w:rPr>
      </w:pPr>
    </w:p>
    <w:p>
      <w:pPr>
        <w:pStyle w:val="25"/>
        <w:shd w:val="clear" w:color="auto" w:fill="FFFFFF"/>
        <w:spacing w:before="340" w:beforeAutospacing="0" w:after="340" w:afterAutospacing="0" w:line="380" w:lineRule="atLeast"/>
        <w:ind w:firstLine="4250" w:firstLineChars="1771"/>
        <w:textAlignment w:val="baseline"/>
        <w:rPr>
          <w:color w:val="auto"/>
          <w:highlight w:val="none"/>
        </w:rPr>
      </w:pPr>
    </w:p>
    <w:p>
      <w:pPr>
        <w:pStyle w:val="25"/>
        <w:shd w:val="clear" w:color="auto" w:fill="FFFFFF"/>
        <w:spacing w:before="340" w:beforeAutospacing="0" w:after="340" w:afterAutospacing="0" w:line="380" w:lineRule="atLeast"/>
        <w:ind w:firstLine="4250" w:firstLineChars="1771"/>
        <w:textAlignment w:val="baseline"/>
        <w:rPr>
          <w:color w:val="auto"/>
          <w:highlight w:val="none"/>
        </w:rPr>
      </w:pPr>
    </w:p>
    <w:p>
      <w:pPr>
        <w:pStyle w:val="25"/>
        <w:shd w:val="clear" w:color="auto" w:fill="FFFFFF"/>
        <w:spacing w:before="340" w:beforeAutospacing="0" w:after="340" w:afterAutospacing="0" w:line="380" w:lineRule="atLeast"/>
        <w:ind w:firstLine="3967" w:firstLineChars="1653"/>
        <w:textAlignment w:val="baseline"/>
        <w:rPr>
          <w:color w:val="auto"/>
          <w:highlight w:val="none"/>
        </w:rPr>
      </w:pPr>
      <w:r>
        <w:rPr>
          <w:rFonts w:hint="eastAsia"/>
          <w:color w:val="auto"/>
          <w:highlight w:val="none"/>
        </w:rPr>
        <w:t>供应商</w:t>
      </w:r>
      <w:r>
        <w:rPr>
          <w:color w:val="auto"/>
          <w:highlight w:val="none"/>
        </w:rPr>
        <w:t>： (全称)(盖章)</w:t>
      </w:r>
    </w:p>
    <w:p>
      <w:pPr>
        <w:pStyle w:val="25"/>
        <w:shd w:val="clear" w:color="auto" w:fill="FFFFFF"/>
        <w:spacing w:before="240" w:beforeAutospacing="0" w:after="240" w:afterAutospacing="0" w:line="500" w:lineRule="atLeast"/>
        <w:ind w:firstLine="3967" w:firstLineChars="1653"/>
        <w:textAlignment w:val="baseline"/>
        <w:rPr>
          <w:color w:val="auto"/>
          <w:highlight w:val="none"/>
        </w:rPr>
      </w:pPr>
      <w:r>
        <w:rPr>
          <w:color w:val="auto"/>
          <w:highlight w:val="none"/>
        </w:rPr>
        <w:t>法定代表人</w:t>
      </w:r>
      <w:r>
        <w:rPr>
          <w:rFonts w:hint="eastAsia"/>
          <w:color w:val="auto"/>
          <w:highlight w:val="none"/>
        </w:rPr>
        <w:t>或</w:t>
      </w:r>
      <w:r>
        <w:rPr>
          <w:color w:val="auto"/>
          <w:highlight w:val="none"/>
        </w:rPr>
        <w:t>授权</w:t>
      </w:r>
      <w:r>
        <w:rPr>
          <w:rFonts w:hint="eastAsia"/>
          <w:color w:val="auto"/>
          <w:highlight w:val="none"/>
          <w:lang w:val="en-US" w:eastAsia="zh-CN"/>
        </w:rPr>
        <w:t>代表</w:t>
      </w:r>
      <w:r>
        <w:rPr>
          <w:color w:val="auto"/>
          <w:highlight w:val="none"/>
        </w:rPr>
        <w:t>： (签字</w:t>
      </w:r>
      <w:r>
        <w:rPr>
          <w:rFonts w:hint="eastAsia"/>
          <w:color w:val="auto"/>
          <w:highlight w:val="none"/>
          <w:lang w:val="en-US" w:eastAsia="zh-CN"/>
        </w:rPr>
        <w:t>或</w:t>
      </w:r>
      <w:r>
        <w:rPr>
          <w:rFonts w:hint="eastAsia" w:ascii="宋体"/>
          <w:color w:val="auto"/>
          <w:szCs w:val="21"/>
          <w:highlight w:val="none"/>
          <w:lang w:val="en-US" w:eastAsia="zh-CN"/>
        </w:rPr>
        <w:t>印鉴</w:t>
      </w:r>
      <w:r>
        <w:rPr>
          <w:color w:val="auto"/>
          <w:highlight w:val="none"/>
        </w:rPr>
        <w:t>)</w:t>
      </w:r>
    </w:p>
    <w:p>
      <w:pPr>
        <w:pStyle w:val="25"/>
        <w:shd w:val="clear" w:color="auto" w:fill="FFFFFF"/>
        <w:spacing w:before="340" w:beforeAutospacing="0" w:after="340" w:afterAutospacing="0" w:line="500" w:lineRule="atLeast"/>
        <w:ind w:firstLine="3967" w:firstLineChars="1653"/>
        <w:textAlignment w:val="baseline"/>
        <w:rPr>
          <w:color w:val="auto"/>
          <w:highlight w:val="none"/>
        </w:rPr>
      </w:pPr>
      <w:r>
        <w:rPr>
          <w:color w:val="auto"/>
          <w:highlight w:val="none"/>
        </w:rPr>
        <w:t xml:space="preserve">日 </w:t>
      </w:r>
      <w:r>
        <w:rPr>
          <w:rFonts w:hint="eastAsia"/>
          <w:color w:val="auto"/>
          <w:highlight w:val="none"/>
          <w:lang w:val="en-US" w:eastAsia="zh-CN"/>
        </w:rPr>
        <w:t xml:space="preserve"> </w:t>
      </w:r>
      <w:r>
        <w:rPr>
          <w:color w:val="auto"/>
          <w:highlight w:val="none"/>
        </w:rPr>
        <w:t xml:space="preserve">期： </w:t>
      </w:r>
      <w:r>
        <w:rPr>
          <w:rFonts w:hint="eastAsia"/>
          <w:color w:val="auto"/>
          <w:highlight w:val="none"/>
          <w:lang w:val="en-US" w:eastAsia="zh-CN"/>
        </w:rPr>
        <w:t xml:space="preserve">     </w:t>
      </w:r>
      <w:r>
        <w:rPr>
          <w:color w:val="auto"/>
          <w:highlight w:val="none"/>
        </w:rPr>
        <w:t xml:space="preserve">年 </w:t>
      </w:r>
      <w:r>
        <w:rPr>
          <w:rFonts w:hint="eastAsia"/>
          <w:color w:val="auto"/>
          <w:highlight w:val="none"/>
          <w:lang w:val="en-US" w:eastAsia="zh-CN"/>
        </w:rPr>
        <w:t xml:space="preserve">   </w:t>
      </w:r>
      <w:r>
        <w:rPr>
          <w:color w:val="auto"/>
          <w:highlight w:val="none"/>
        </w:rPr>
        <w:t xml:space="preserve">月 </w:t>
      </w:r>
      <w:r>
        <w:rPr>
          <w:rFonts w:hint="eastAsia"/>
          <w:color w:val="auto"/>
          <w:highlight w:val="none"/>
          <w:lang w:val="en-US" w:eastAsia="zh-CN"/>
        </w:rPr>
        <w:t xml:space="preserve">   </w:t>
      </w:r>
      <w:r>
        <w:rPr>
          <w:color w:val="auto"/>
          <w:highlight w:val="none"/>
        </w:rPr>
        <w:t>日</w:t>
      </w:r>
    </w:p>
    <w:p>
      <w:pPr>
        <w:widowControl w:val="0"/>
        <w:spacing w:line="400" w:lineRule="exact"/>
        <w:ind w:left="306"/>
        <w:jc w:val="both"/>
        <w:rPr>
          <w:rFonts w:ascii="宋体"/>
          <w:b/>
          <w:color w:val="auto"/>
          <w:sz w:val="24"/>
          <w:szCs w:val="24"/>
          <w:highlight w:val="none"/>
        </w:rPr>
      </w:pPr>
      <w:r>
        <w:rPr>
          <w:rFonts w:ascii="宋体"/>
          <w:color w:val="auto"/>
          <w:highlight w:val="none"/>
        </w:rPr>
        <w:br w:type="page"/>
      </w:r>
    </w:p>
    <w:p>
      <w:pPr>
        <w:widowControl w:val="0"/>
        <w:tabs>
          <w:tab w:val="left" w:pos="360"/>
          <w:tab w:val="left" w:pos="720"/>
          <w:tab w:val="left" w:pos="3060"/>
        </w:tabs>
        <w:spacing w:line="400" w:lineRule="exact"/>
        <w:outlineLvl w:val="1"/>
        <w:rPr>
          <w:rStyle w:val="41"/>
          <w:rFonts w:hint="eastAsia"/>
          <w:color w:val="auto"/>
          <w:highlight w:val="none"/>
        </w:rPr>
      </w:pPr>
      <w:bookmarkStart w:id="527" w:name="_Toc7985"/>
      <w:bookmarkStart w:id="528" w:name="_Toc512354297"/>
      <w:bookmarkStart w:id="529" w:name="_Toc382509472"/>
      <w:bookmarkStart w:id="530" w:name="_Toc484699859"/>
      <w:bookmarkStart w:id="531" w:name="_Toc21204"/>
      <w:bookmarkStart w:id="532" w:name="_Toc10122283"/>
      <w:bookmarkStart w:id="533" w:name="_Toc10184892"/>
      <w:r>
        <w:rPr>
          <w:rStyle w:val="41"/>
          <w:rFonts w:hint="eastAsia"/>
          <w:color w:val="auto"/>
          <w:sz w:val="28"/>
          <w:szCs w:val="28"/>
          <w:highlight w:val="none"/>
        </w:rPr>
        <w:t>格式</w:t>
      </w:r>
      <w:r>
        <w:rPr>
          <w:rStyle w:val="41"/>
          <w:rFonts w:hint="eastAsia"/>
          <w:color w:val="auto"/>
          <w:sz w:val="28"/>
          <w:szCs w:val="28"/>
          <w:highlight w:val="none"/>
          <w:lang w:val="en-US"/>
        </w:rPr>
        <w:t>九</w:t>
      </w:r>
      <w:bookmarkEnd w:id="527"/>
      <w:r>
        <w:rPr>
          <w:rStyle w:val="41"/>
          <w:rFonts w:hint="eastAsia"/>
          <w:color w:val="auto"/>
          <w:sz w:val="28"/>
          <w:szCs w:val="28"/>
          <w:highlight w:val="none"/>
        </w:rPr>
        <w:t xml:space="preserve"> </w:t>
      </w:r>
      <w:r>
        <w:rPr>
          <w:rStyle w:val="41"/>
          <w:rFonts w:hint="eastAsia"/>
          <w:color w:val="auto"/>
          <w:highlight w:val="none"/>
        </w:rPr>
        <w:t xml:space="preserve">                       </w:t>
      </w:r>
    </w:p>
    <w:p>
      <w:pPr>
        <w:widowControl w:val="0"/>
        <w:tabs>
          <w:tab w:val="left" w:pos="360"/>
          <w:tab w:val="left" w:pos="720"/>
          <w:tab w:val="left" w:pos="3060"/>
        </w:tabs>
        <w:spacing w:line="400" w:lineRule="exact"/>
        <w:jc w:val="center"/>
        <w:outlineLvl w:val="1"/>
        <w:rPr>
          <w:rFonts w:ascii="宋体"/>
          <w:b/>
          <w:color w:val="auto"/>
          <w:kern w:val="2"/>
          <w:sz w:val="28"/>
          <w:szCs w:val="28"/>
          <w:highlight w:val="none"/>
        </w:rPr>
      </w:pPr>
      <w:bookmarkStart w:id="534" w:name="_Toc532"/>
      <w:r>
        <w:rPr>
          <w:rStyle w:val="41"/>
          <w:rFonts w:hint="eastAsia"/>
          <w:color w:val="auto"/>
          <w:highlight w:val="none"/>
        </w:rPr>
        <w:t>技术部分</w:t>
      </w:r>
      <w:r>
        <w:rPr>
          <w:rStyle w:val="41"/>
          <w:color w:val="auto"/>
          <w:highlight w:val="none"/>
        </w:rPr>
        <w:t>/商务部分差异表</w:t>
      </w:r>
      <w:bookmarkEnd w:id="528"/>
      <w:bookmarkEnd w:id="529"/>
      <w:bookmarkEnd w:id="530"/>
      <w:bookmarkEnd w:id="531"/>
      <w:bookmarkEnd w:id="532"/>
      <w:bookmarkEnd w:id="533"/>
      <w:bookmarkEnd w:id="534"/>
    </w:p>
    <w:p>
      <w:pPr>
        <w:spacing w:line="300" w:lineRule="auto"/>
        <w:rPr>
          <w:rFonts w:ascii="宋体"/>
          <w:b/>
          <w:color w:val="auto"/>
          <w:sz w:val="24"/>
          <w:szCs w:val="24"/>
          <w:highlight w:val="none"/>
        </w:rPr>
      </w:pPr>
    </w:p>
    <w:p>
      <w:pPr>
        <w:spacing w:line="300" w:lineRule="auto"/>
        <w:rPr>
          <w:rFonts w:ascii="宋体"/>
          <w:b/>
          <w:color w:val="auto"/>
          <w:sz w:val="24"/>
          <w:szCs w:val="24"/>
          <w:highlight w:val="none"/>
        </w:rPr>
      </w:pPr>
    </w:p>
    <w:p>
      <w:pPr>
        <w:spacing w:line="300" w:lineRule="auto"/>
        <w:rPr>
          <w:rFonts w:ascii="宋体"/>
          <w:b/>
          <w:color w:val="auto"/>
          <w:sz w:val="24"/>
          <w:szCs w:val="24"/>
          <w:highlight w:val="none"/>
        </w:rPr>
      </w:pPr>
    </w:p>
    <w:tbl>
      <w:tblPr>
        <w:tblStyle w:val="28"/>
        <w:tblW w:w="8960"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
      <w:tblGrid>
        <w:gridCol w:w="635"/>
        <w:gridCol w:w="872"/>
        <w:gridCol w:w="2960"/>
        <w:gridCol w:w="955"/>
        <w:gridCol w:w="353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cantSplit/>
          <w:trHeight w:val="598" w:hRule="atLeast"/>
          <w:jc w:val="center"/>
        </w:trPr>
        <w:tc>
          <w:tcPr>
            <w:tcW w:w="635" w:type="dxa"/>
            <w:vMerge w:val="restart"/>
            <w:vAlign w:val="center"/>
          </w:tcPr>
          <w:p>
            <w:pPr>
              <w:jc w:val="center"/>
              <w:rPr>
                <w:rFonts w:ascii="宋体"/>
                <w:color w:val="auto"/>
                <w:sz w:val="24"/>
                <w:highlight w:val="none"/>
              </w:rPr>
            </w:pPr>
            <w:r>
              <w:rPr>
                <w:rFonts w:hint="eastAsia" w:ascii="宋体"/>
                <w:color w:val="auto"/>
                <w:sz w:val="24"/>
                <w:highlight w:val="none"/>
              </w:rPr>
              <w:t>序号</w:t>
            </w:r>
          </w:p>
        </w:tc>
        <w:tc>
          <w:tcPr>
            <w:tcW w:w="3832" w:type="dxa"/>
            <w:gridSpan w:val="2"/>
            <w:vAlign w:val="center"/>
          </w:tcPr>
          <w:p>
            <w:pPr>
              <w:jc w:val="center"/>
              <w:rPr>
                <w:rFonts w:ascii="宋体"/>
                <w:color w:val="auto"/>
                <w:sz w:val="24"/>
                <w:highlight w:val="none"/>
              </w:rPr>
            </w:pPr>
            <w:r>
              <w:rPr>
                <w:rFonts w:hint="eastAsia" w:ascii="宋体"/>
                <w:color w:val="auto"/>
                <w:sz w:val="24"/>
                <w:highlight w:val="none"/>
              </w:rPr>
              <w:t>采购文件</w:t>
            </w:r>
          </w:p>
        </w:tc>
        <w:tc>
          <w:tcPr>
            <w:tcW w:w="4493" w:type="dxa"/>
            <w:gridSpan w:val="2"/>
            <w:vAlign w:val="center"/>
          </w:tcPr>
          <w:p>
            <w:pPr>
              <w:jc w:val="center"/>
              <w:rPr>
                <w:rFonts w:ascii="宋体"/>
                <w:color w:val="auto"/>
                <w:sz w:val="24"/>
                <w:highlight w:val="none"/>
              </w:rPr>
            </w:pPr>
            <w:r>
              <w:rPr>
                <w:rFonts w:hint="eastAsia" w:ascii="宋体"/>
                <w:color w:val="auto"/>
                <w:sz w:val="24"/>
                <w:highlight w:val="none"/>
              </w:rPr>
              <w:t>响应文件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cantSplit/>
          <w:trHeight w:val="564" w:hRule="atLeast"/>
          <w:jc w:val="center"/>
        </w:trPr>
        <w:tc>
          <w:tcPr>
            <w:tcW w:w="635" w:type="dxa"/>
            <w:vMerge w:val="continue"/>
            <w:vAlign w:val="center"/>
          </w:tcPr>
          <w:p>
            <w:pPr>
              <w:rPr>
                <w:color w:val="auto"/>
                <w:highlight w:val="none"/>
              </w:rPr>
            </w:pPr>
          </w:p>
        </w:tc>
        <w:tc>
          <w:tcPr>
            <w:tcW w:w="872" w:type="dxa"/>
            <w:vAlign w:val="center"/>
          </w:tcPr>
          <w:p>
            <w:pPr>
              <w:jc w:val="center"/>
              <w:rPr>
                <w:rFonts w:ascii="宋体"/>
                <w:color w:val="auto"/>
                <w:sz w:val="24"/>
                <w:highlight w:val="none"/>
              </w:rPr>
            </w:pPr>
            <w:r>
              <w:rPr>
                <w:rFonts w:hint="eastAsia" w:ascii="宋体"/>
                <w:color w:val="auto"/>
                <w:sz w:val="24"/>
                <w:highlight w:val="none"/>
              </w:rPr>
              <w:t>条目</w:t>
            </w:r>
          </w:p>
        </w:tc>
        <w:tc>
          <w:tcPr>
            <w:tcW w:w="2960" w:type="dxa"/>
            <w:vAlign w:val="center"/>
          </w:tcPr>
          <w:p>
            <w:pPr>
              <w:jc w:val="center"/>
              <w:rPr>
                <w:rFonts w:ascii="宋体"/>
                <w:color w:val="auto"/>
                <w:sz w:val="24"/>
                <w:highlight w:val="none"/>
              </w:rPr>
            </w:pPr>
            <w:r>
              <w:rPr>
                <w:rFonts w:hint="eastAsia" w:ascii="宋体"/>
                <w:color w:val="auto"/>
                <w:sz w:val="24"/>
                <w:highlight w:val="none"/>
              </w:rPr>
              <w:t>简要内容</w:t>
            </w:r>
          </w:p>
        </w:tc>
        <w:tc>
          <w:tcPr>
            <w:tcW w:w="955" w:type="dxa"/>
            <w:vAlign w:val="center"/>
          </w:tcPr>
          <w:p>
            <w:pPr>
              <w:jc w:val="center"/>
              <w:rPr>
                <w:rFonts w:ascii="宋体"/>
                <w:color w:val="auto"/>
                <w:sz w:val="24"/>
                <w:highlight w:val="none"/>
              </w:rPr>
            </w:pPr>
            <w:r>
              <w:rPr>
                <w:rFonts w:hint="eastAsia" w:ascii="宋体"/>
                <w:color w:val="auto"/>
                <w:sz w:val="24"/>
                <w:highlight w:val="none"/>
              </w:rPr>
              <w:t>条目</w:t>
            </w:r>
          </w:p>
        </w:tc>
        <w:tc>
          <w:tcPr>
            <w:tcW w:w="3538" w:type="dxa"/>
            <w:vAlign w:val="center"/>
          </w:tcPr>
          <w:p>
            <w:pPr>
              <w:jc w:val="center"/>
              <w:rPr>
                <w:rFonts w:ascii="宋体"/>
                <w:color w:val="auto"/>
                <w:sz w:val="24"/>
                <w:highlight w:val="none"/>
              </w:rPr>
            </w:pPr>
            <w:r>
              <w:rPr>
                <w:rFonts w:hint="eastAsia" w:ascii="宋体"/>
                <w:color w:val="auto"/>
                <w:sz w:val="24"/>
                <w:highlight w:val="none"/>
              </w:rPr>
              <w:t>简要内容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18"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jc w:val="center"/>
              <w:rPr>
                <w:rFonts w:ascii="宋体"/>
                <w:color w:val="auto"/>
                <w:sz w:val="24"/>
                <w:highlight w:val="none"/>
              </w:rPr>
            </w:pPr>
          </w:p>
        </w:tc>
        <w:tc>
          <w:tcPr>
            <w:tcW w:w="955" w:type="dxa"/>
            <w:vAlign w:val="center"/>
          </w:tcPr>
          <w:p>
            <w:pPr>
              <w:jc w:val="center"/>
              <w:rPr>
                <w:rFonts w:ascii="宋体"/>
                <w:color w:val="auto"/>
                <w:sz w:val="24"/>
                <w:highlight w:val="none"/>
              </w:rPr>
            </w:pPr>
          </w:p>
        </w:tc>
        <w:tc>
          <w:tcPr>
            <w:tcW w:w="3538" w:type="dxa"/>
            <w:vAlign w:val="center"/>
          </w:tcPr>
          <w:p>
            <w:pPr>
              <w:jc w:val="center"/>
              <w:rPr>
                <w:rFonts w:ascii="宋体"/>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18"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rPr>
                <w:rFonts w:ascii="宋体"/>
                <w:color w:val="auto"/>
                <w:szCs w:val="19"/>
                <w:highlight w:val="none"/>
              </w:rPr>
            </w:pPr>
          </w:p>
        </w:tc>
        <w:tc>
          <w:tcPr>
            <w:tcW w:w="955" w:type="dxa"/>
            <w:vAlign w:val="center"/>
          </w:tcPr>
          <w:p>
            <w:pPr>
              <w:rPr>
                <w:rFonts w:ascii="宋体"/>
                <w:color w:val="auto"/>
                <w:szCs w:val="19"/>
                <w:highlight w:val="none"/>
              </w:rPr>
            </w:pPr>
          </w:p>
        </w:tc>
        <w:tc>
          <w:tcPr>
            <w:tcW w:w="3538"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18"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rPr>
                <w:rFonts w:ascii="宋体"/>
                <w:color w:val="auto"/>
                <w:szCs w:val="19"/>
                <w:highlight w:val="none"/>
              </w:rPr>
            </w:pPr>
          </w:p>
        </w:tc>
        <w:tc>
          <w:tcPr>
            <w:tcW w:w="955" w:type="dxa"/>
            <w:vAlign w:val="center"/>
          </w:tcPr>
          <w:p>
            <w:pPr>
              <w:rPr>
                <w:rFonts w:ascii="宋体"/>
                <w:color w:val="auto"/>
                <w:szCs w:val="19"/>
                <w:highlight w:val="none"/>
              </w:rPr>
            </w:pPr>
          </w:p>
        </w:tc>
        <w:tc>
          <w:tcPr>
            <w:tcW w:w="3538"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18"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rPr>
                <w:rFonts w:ascii="宋体"/>
                <w:color w:val="auto"/>
                <w:szCs w:val="19"/>
                <w:highlight w:val="none"/>
              </w:rPr>
            </w:pPr>
          </w:p>
        </w:tc>
        <w:tc>
          <w:tcPr>
            <w:tcW w:w="955" w:type="dxa"/>
            <w:vAlign w:val="center"/>
          </w:tcPr>
          <w:p>
            <w:pPr>
              <w:rPr>
                <w:rFonts w:ascii="宋体"/>
                <w:color w:val="auto"/>
                <w:szCs w:val="19"/>
                <w:highlight w:val="none"/>
              </w:rPr>
            </w:pPr>
          </w:p>
        </w:tc>
        <w:tc>
          <w:tcPr>
            <w:tcW w:w="3538"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770" w:hRule="atLeast"/>
          <w:jc w:val="center"/>
        </w:trPr>
        <w:tc>
          <w:tcPr>
            <w:tcW w:w="635" w:type="dxa"/>
            <w:vAlign w:val="center"/>
          </w:tcPr>
          <w:p>
            <w:pPr>
              <w:rPr>
                <w:rFonts w:ascii="宋体"/>
                <w:color w:val="auto"/>
                <w:szCs w:val="19"/>
                <w:highlight w:val="none"/>
              </w:rPr>
            </w:pPr>
          </w:p>
        </w:tc>
        <w:tc>
          <w:tcPr>
            <w:tcW w:w="872" w:type="dxa"/>
            <w:vAlign w:val="center"/>
          </w:tcPr>
          <w:p>
            <w:pPr>
              <w:rPr>
                <w:rFonts w:ascii="宋体"/>
                <w:color w:val="auto"/>
                <w:szCs w:val="19"/>
                <w:highlight w:val="none"/>
              </w:rPr>
            </w:pPr>
          </w:p>
        </w:tc>
        <w:tc>
          <w:tcPr>
            <w:tcW w:w="2960" w:type="dxa"/>
            <w:vAlign w:val="center"/>
          </w:tcPr>
          <w:p>
            <w:pPr>
              <w:rPr>
                <w:rFonts w:ascii="宋体"/>
                <w:color w:val="auto"/>
                <w:szCs w:val="19"/>
                <w:highlight w:val="none"/>
              </w:rPr>
            </w:pPr>
          </w:p>
        </w:tc>
        <w:tc>
          <w:tcPr>
            <w:tcW w:w="955" w:type="dxa"/>
            <w:vAlign w:val="center"/>
          </w:tcPr>
          <w:p>
            <w:pPr>
              <w:rPr>
                <w:rFonts w:ascii="宋体"/>
                <w:color w:val="auto"/>
                <w:szCs w:val="19"/>
                <w:highlight w:val="none"/>
              </w:rPr>
            </w:pPr>
          </w:p>
        </w:tc>
        <w:tc>
          <w:tcPr>
            <w:tcW w:w="3538" w:type="dxa"/>
            <w:vAlign w:val="center"/>
          </w:tcPr>
          <w:p>
            <w:pPr>
              <w:rPr>
                <w:rFonts w:ascii="宋体"/>
                <w:color w:val="auto"/>
                <w:szCs w:val="19"/>
                <w:highlight w:val="none"/>
              </w:rPr>
            </w:pPr>
          </w:p>
        </w:tc>
      </w:tr>
    </w:tbl>
    <w:p>
      <w:pPr>
        <w:keepNext w:val="0"/>
        <w:keepLines w:val="0"/>
        <w:pageBreakBefore w:val="0"/>
        <w:widowControl/>
        <w:kinsoku/>
        <w:wordWrap/>
        <w:overflowPunct/>
        <w:topLinePunct w:val="0"/>
        <w:autoSpaceDE/>
        <w:autoSpaceDN/>
        <w:bidi w:val="0"/>
        <w:adjustRightInd/>
        <w:snapToGrid/>
        <w:spacing w:before="313" w:beforeLines="100" w:beforeAutospacing="0" w:after="100" w:afterAutospacing="1" w:line="360" w:lineRule="auto"/>
        <w:ind w:firstLine="240" w:firstLineChars="100"/>
        <w:textAlignment w:val="auto"/>
        <w:rPr>
          <w:rFonts w:hint="eastAsia" w:ascii="宋体" w:hAnsi="Times New Roman" w:cs="Times New Roman"/>
          <w:color w:val="auto"/>
          <w:sz w:val="24"/>
          <w:szCs w:val="22"/>
          <w:highlight w:val="none"/>
        </w:rPr>
      </w:pPr>
    </w:p>
    <w:p>
      <w:pPr>
        <w:keepNext w:val="0"/>
        <w:keepLines w:val="0"/>
        <w:pageBreakBefore w:val="0"/>
        <w:widowControl/>
        <w:kinsoku/>
        <w:wordWrap/>
        <w:overflowPunct/>
        <w:topLinePunct w:val="0"/>
        <w:autoSpaceDE/>
        <w:autoSpaceDN/>
        <w:bidi w:val="0"/>
        <w:adjustRightInd/>
        <w:snapToGrid/>
        <w:spacing w:before="313" w:beforeLines="100" w:beforeAutospacing="0" w:after="100" w:afterAutospacing="1" w:line="360" w:lineRule="auto"/>
        <w:ind w:firstLine="720" w:firstLineChars="300"/>
        <w:textAlignment w:val="auto"/>
        <w:rPr>
          <w:rFonts w:hint="eastAsia" w:ascii="宋体" w:hAnsi="Times New Roman" w:cs="Times New Roman"/>
          <w:color w:val="auto"/>
          <w:sz w:val="24"/>
          <w:szCs w:val="22"/>
          <w:highlight w:val="none"/>
        </w:rPr>
      </w:pPr>
      <w:r>
        <w:rPr>
          <w:rFonts w:hint="eastAsia" w:ascii="宋体" w:hAnsi="Times New Roman" w:cs="Times New Roman"/>
          <w:color w:val="auto"/>
          <w:sz w:val="24"/>
          <w:szCs w:val="22"/>
          <w:highlight w:val="none"/>
        </w:rPr>
        <w:t>授权代表签字</w:t>
      </w:r>
      <w:r>
        <w:rPr>
          <w:rFonts w:hint="eastAsia" w:ascii="宋体" w:hAnsi="Times New Roman" w:cs="Times New Roman"/>
          <w:color w:val="auto"/>
          <w:sz w:val="24"/>
          <w:szCs w:val="22"/>
          <w:highlight w:val="none"/>
          <w:lang w:val="en-US" w:eastAsia="zh-CN"/>
        </w:rPr>
        <w:t>或印鉴</w:t>
      </w:r>
      <w:r>
        <w:rPr>
          <w:rFonts w:hint="eastAsia" w:ascii="宋体" w:hAnsi="Times New Roman" w:cs="Times New Roman"/>
          <w:color w:val="auto"/>
          <w:sz w:val="24"/>
          <w:szCs w:val="22"/>
          <w:highlight w:val="none"/>
        </w:rPr>
        <w:t xml:space="preserve">：                     </w:t>
      </w:r>
    </w:p>
    <w:p>
      <w:pPr>
        <w:spacing w:before="100" w:beforeAutospacing="1" w:after="100" w:afterAutospacing="1" w:line="360" w:lineRule="auto"/>
        <w:ind w:firstLine="720" w:firstLineChars="300"/>
        <w:rPr>
          <w:rFonts w:hint="eastAsia" w:ascii="宋体" w:hAnsi="Times New Roman" w:cs="Times New Roman"/>
          <w:color w:val="auto"/>
          <w:sz w:val="24"/>
          <w:szCs w:val="22"/>
          <w:highlight w:val="none"/>
        </w:rPr>
      </w:pPr>
      <w:r>
        <w:rPr>
          <w:rFonts w:hint="eastAsia" w:ascii="宋体" w:hAnsi="Times New Roman" w:cs="Times New Roman"/>
          <w:color w:val="auto"/>
          <w:sz w:val="24"/>
          <w:szCs w:val="22"/>
          <w:highlight w:val="none"/>
        </w:rPr>
        <w:t xml:space="preserve">日期：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年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月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日</w:t>
      </w:r>
    </w:p>
    <w:p>
      <w:pPr>
        <w:pStyle w:val="46"/>
        <w:ind w:firstLine="420" w:firstLineChars="0"/>
        <w:rPr>
          <w:rFonts w:ascii="宋体"/>
          <w:b/>
          <w:color w:val="auto"/>
          <w:szCs w:val="21"/>
          <w:highlight w:val="none"/>
        </w:rPr>
      </w:pPr>
    </w:p>
    <w:p>
      <w:pPr>
        <w:pStyle w:val="46"/>
        <w:ind w:firstLine="420" w:firstLineChars="0"/>
        <w:rPr>
          <w:rFonts w:ascii="宋体"/>
          <w:b/>
          <w:color w:val="auto"/>
          <w:sz w:val="28"/>
          <w:szCs w:val="28"/>
          <w:highlight w:val="none"/>
        </w:rPr>
      </w:pPr>
    </w:p>
    <w:p>
      <w:pPr>
        <w:pStyle w:val="26"/>
        <w:jc w:val="center"/>
        <w:outlineLvl w:val="9"/>
        <w:rPr>
          <w:rFonts w:ascii="宋体"/>
          <w:color w:val="auto"/>
          <w:kern w:val="2"/>
          <w:highlight w:val="none"/>
        </w:rPr>
      </w:pPr>
    </w:p>
    <w:p>
      <w:pPr>
        <w:widowControl w:val="0"/>
        <w:tabs>
          <w:tab w:val="left" w:pos="360"/>
          <w:tab w:val="left" w:pos="720"/>
          <w:tab w:val="left" w:pos="3060"/>
        </w:tabs>
        <w:spacing w:line="400" w:lineRule="exact"/>
        <w:outlineLvl w:val="1"/>
        <w:rPr>
          <w:rStyle w:val="41"/>
          <w:rFonts w:hint="eastAsia"/>
          <w:color w:val="auto"/>
          <w:highlight w:val="none"/>
        </w:rPr>
      </w:pPr>
      <w:r>
        <w:rPr>
          <w:rFonts w:ascii="宋体"/>
          <w:b/>
          <w:color w:val="auto"/>
          <w:sz w:val="32"/>
          <w:szCs w:val="32"/>
          <w:highlight w:val="none"/>
        </w:rPr>
        <w:br w:type="page"/>
      </w:r>
      <w:bookmarkStart w:id="535" w:name="_Toc1143"/>
      <w:bookmarkStart w:id="536" w:name="_Toc10122284"/>
      <w:bookmarkStart w:id="537" w:name="_Toc381027005"/>
      <w:bookmarkStart w:id="538" w:name="_Toc10184893"/>
      <w:bookmarkStart w:id="539" w:name="_Toc376793566"/>
      <w:bookmarkStart w:id="540" w:name="_Toc376793585"/>
      <w:bookmarkStart w:id="541" w:name="_Toc10461"/>
      <w:bookmarkStart w:id="542" w:name="_Toc512354299"/>
      <w:bookmarkStart w:id="543" w:name="_Toc376793720"/>
      <w:r>
        <w:rPr>
          <w:rStyle w:val="41"/>
          <w:rFonts w:hint="eastAsia"/>
          <w:color w:val="auto"/>
          <w:sz w:val="28"/>
          <w:szCs w:val="28"/>
          <w:highlight w:val="none"/>
        </w:rPr>
        <w:t>格式十</w:t>
      </w:r>
      <w:bookmarkEnd w:id="535"/>
      <w:r>
        <w:rPr>
          <w:rStyle w:val="41"/>
          <w:rFonts w:hint="eastAsia"/>
          <w:color w:val="auto"/>
          <w:highlight w:val="none"/>
        </w:rPr>
        <w:t xml:space="preserve">                       </w:t>
      </w:r>
    </w:p>
    <w:p>
      <w:pPr>
        <w:widowControl w:val="0"/>
        <w:tabs>
          <w:tab w:val="left" w:pos="360"/>
          <w:tab w:val="left" w:pos="720"/>
          <w:tab w:val="left" w:pos="3060"/>
        </w:tabs>
        <w:spacing w:line="400" w:lineRule="exact"/>
        <w:jc w:val="center"/>
        <w:outlineLvl w:val="1"/>
        <w:rPr>
          <w:rFonts w:ascii="宋体"/>
          <w:b/>
          <w:color w:val="auto"/>
          <w:kern w:val="2"/>
          <w:sz w:val="28"/>
          <w:szCs w:val="28"/>
          <w:highlight w:val="none"/>
        </w:rPr>
      </w:pPr>
      <w:bookmarkStart w:id="544" w:name="_Toc15322"/>
      <w:r>
        <w:rPr>
          <w:rStyle w:val="41"/>
          <w:color w:val="auto"/>
          <w:highlight w:val="none"/>
        </w:rPr>
        <w:t>廉洁承诺书</w:t>
      </w:r>
      <w:bookmarkEnd w:id="536"/>
      <w:bookmarkEnd w:id="537"/>
      <w:bookmarkEnd w:id="538"/>
      <w:bookmarkEnd w:id="539"/>
      <w:bookmarkEnd w:id="540"/>
      <w:bookmarkEnd w:id="541"/>
      <w:bookmarkEnd w:id="542"/>
      <w:bookmarkEnd w:id="543"/>
      <w:bookmarkEnd w:id="544"/>
    </w:p>
    <w:p>
      <w:pPr>
        <w:widowControl w:val="0"/>
        <w:tabs>
          <w:tab w:val="left" w:pos="1080"/>
          <w:tab w:val="left" w:pos="1980"/>
          <w:tab w:val="left" w:pos="2160"/>
          <w:tab w:val="left" w:pos="2340"/>
          <w:tab w:val="left" w:pos="2520"/>
          <w:tab w:val="left" w:pos="2700"/>
          <w:tab w:val="left" w:pos="3240"/>
        </w:tabs>
        <w:spacing w:line="400" w:lineRule="exact"/>
        <w:jc w:val="both"/>
        <w:rPr>
          <w:rFonts w:ascii="宋体"/>
          <w:b/>
          <w:color w:val="auto"/>
          <w:kern w:val="2"/>
          <w:sz w:val="32"/>
          <w:szCs w:val="32"/>
          <w:highlight w:val="none"/>
        </w:rPr>
      </w:pPr>
    </w:p>
    <w:p>
      <w:pPr>
        <w:spacing w:line="400" w:lineRule="exact"/>
        <w:ind w:firstLine="480" w:firstLineChars="200"/>
        <w:rPr>
          <w:rFonts w:ascii="宋体"/>
          <w:color w:val="auto"/>
          <w:sz w:val="24"/>
          <w:szCs w:val="24"/>
          <w:highlight w:val="none"/>
        </w:rPr>
      </w:pPr>
      <w:r>
        <w:rPr>
          <w:rFonts w:ascii="宋体"/>
          <w:color w:val="auto"/>
          <w:sz w:val="24"/>
          <w:szCs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一、严格遵守国家有关法律法规，坚持诚实守信原则，恪守商业道德，规范商务人员廉洁从业行为。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二、不伙同他人串标、围标或非法排挤竞争对手，不在商业活动中提供虚假资料，损害贵方合法权益。</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三、不为贵方工作人员提供回扣、礼金、有价证券、贵重物品和报销个人费用。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四、不为贵方工作人员安排可能影响公平、公正交易的宴请、健身、娱乐等活动。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五、不为贵方工作人员投资入股、个人借款或买卖股票、债券等提供方便。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六、不为贵方工作人员购买或装修住房、婚丧嫁娶、配偶子女上学或工作安排以及出国出境、旅游等提供方便。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七、不违反规定为贵方工作人员在我方相关企业挂名兼职、合伙经营、介绍承揽业务等提供方便。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八、不利用非法手段向贵方工作人员打探有关涉及贵方的商业秘密、业务渠道等。</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九、贵方对涉嫌不廉洁商业行为进行调查时，我方有配合提供证据、作证的义务。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十、未经贵方同意，我方不向任何新闻媒体、第三人述及有关贵方工作人员恪守商业道德方面的评价、信息。</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400" w:lineRule="exact"/>
        <w:ind w:firstLine="480" w:firstLineChars="200"/>
        <w:rPr>
          <w:rFonts w:ascii="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center"/>
        <w:textAlignment w:val="auto"/>
        <w:rPr>
          <w:rFonts w:ascii="宋体"/>
          <w:color w:val="auto"/>
          <w:sz w:val="24"/>
          <w:szCs w:val="24"/>
          <w:highlight w:val="none"/>
        </w:rPr>
      </w:pPr>
      <w:bookmarkStart w:id="545" w:name="_Toc1811_WPSOffice_Level2"/>
      <w:r>
        <w:rPr>
          <w:rFonts w:ascii="宋体"/>
          <w:color w:val="auto"/>
          <w:sz w:val="24"/>
          <w:szCs w:val="24"/>
          <w:highlight w:val="none"/>
        </w:rPr>
        <w:t>承诺方：（盖章）</w:t>
      </w:r>
      <w:bookmarkEnd w:id="545"/>
    </w:p>
    <w:p>
      <w:pPr>
        <w:keepNext w:val="0"/>
        <w:keepLines w:val="0"/>
        <w:pageBreakBefore w:val="0"/>
        <w:widowControl/>
        <w:kinsoku/>
        <w:wordWrap/>
        <w:overflowPunct/>
        <w:topLinePunct w:val="0"/>
        <w:autoSpaceDE/>
        <w:autoSpaceDN/>
        <w:bidi w:val="0"/>
        <w:adjustRightInd/>
        <w:snapToGrid/>
        <w:spacing w:line="640" w:lineRule="exact"/>
        <w:ind w:firstLine="480" w:firstLineChars="200"/>
        <w:jc w:val="center"/>
        <w:textAlignment w:val="auto"/>
        <w:rPr>
          <w:rFonts w:ascii="宋体"/>
          <w:color w:val="auto"/>
          <w:sz w:val="24"/>
          <w:szCs w:val="24"/>
          <w:highlight w:val="none"/>
        </w:rPr>
      </w:pPr>
      <w:bookmarkStart w:id="546" w:name="_Toc20412_WPSOffice_Level2"/>
      <w:r>
        <w:rPr>
          <w:rFonts w:hint="eastAsia" w:ascii="宋体"/>
          <w:color w:val="auto"/>
          <w:sz w:val="24"/>
          <w:szCs w:val="24"/>
          <w:highlight w:val="none"/>
          <w:lang w:val="en-US" w:eastAsia="zh-CN"/>
        </w:rPr>
        <w:t xml:space="preserve">     </w:t>
      </w:r>
      <w:r>
        <w:rPr>
          <w:rFonts w:hint="eastAsia" w:ascii="宋体"/>
          <w:color w:val="auto"/>
          <w:sz w:val="24"/>
          <w:szCs w:val="24"/>
          <w:highlight w:val="none"/>
        </w:rPr>
        <w:t>法定代表人：（签字）</w:t>
      </w:r>
      <w:bookmarkEnd w:id="546"/>
    </w:p>
    <w:p>
      <w:pPr>
        <w:keepNext w:val="0"/>
        <w:keepLines w:val="0"/>
        <w:pageBreakBefore w:val="0"/>
        <w:widowControl/>
        <w:kinsoku/>
        <w:wordWrap/>
        <w:overflowPunct/>
        <w:topLinePunct w:val="0"/>
        <w:autoSpaceDE/>
        <w:autoSpaceDN/>
        <w:bidi w:val="0"/>
        <w:adjustRightInd/>
        <w:snapToGrid/>
        <w:spacing w:line="640" w:lineRule="exact"/>
        <w:ind w:left="0" w:leftChars="0" w:firstLine="3998" w:firstLineChars="1666"/>
        <w:jc w:val="both"/>
        <w:textAlignment w:val="auto"/>
        <w:rPr>
          <w:rFonts w:ascii="宋体"/>
          <w:color w:val="auto"/>
          <w:sz w:val="24"/>
          <w:szCs w:val="24"/>
          <w:highlight w:val="none"/>
        </w:rPr>
      </w:pPr>
      <w:bookmarkStart w:id="547" w:name="_Toc1925_WPSOffice_Level2"/>
      <w:r>
        <w:rPr>
          <w:rFonts w:hint="eastAsia" w:ascii="宋体"/>
          <w:color w:val="auto"/>
          <w:sz w:val="24"/>
          <w:szCs w:val="24"/>
          <w:highlight w:val="none"/>
        </w:rPr>
        <w:t>日  期：</w:t>
      </w:r>
      <w:r>
        <w:rPr>
          <w:rFonts w:hint="eastAsia" w:ascii="宋体"/>
          <w:color w:val="auto"/>
          <w:sz w:val="24"/>
          <w:szCs w:val="24"/>
          <w:highlight w:val="none"/>
          <w:lang w:val="en-US" w:eastAsia="zh-CN"/>
        </w:rPr>
        <w:t xml:space="preserve">         </w:t>
      </w:r>
      <w:r>
        <w:rPr>
          <w:rFonts w:ascii="宋体"/>
          <w:color w:val="auto"/>
          <w:sz w:val="24"/>
          <w:szCs w:val="24"/>
          <w:highlight w:val="none"/>
        </w:rPr>
        <w:t>年</w:t>
      </w:r>
      <w:r>
        <w:rPr>
          <w:rFonts w:hint="eastAsia" w:ascii="宋体"/>
          <w:color w:val="auto"/>
          <w:sz w:val="24"/>
          <w:szCs w:val="24"/>
          <w:highlight w:val="none"/>
          <w:lang w:val="en-US" w:eastAsia="zh-CN"/>
        </w:rPr>
        <w:t xml:space="preserve">    </w:t>
      </w:r>
      <w:r>
        <w:rPr>
          <w:rFonts w:ascii="宋体"/>
          <w:color w:val="auto"/>
          <w:sz w:val="24"/>
          <w:szCs w:val="24"/>
          <w:highlight w:val="none"/>
        </w:rPr>
        <w:t>月</w:t>
      </w:r>
      <w:r>
        <w:rPr>
          <w:rFonts w:hint="eastAsia" w:ascii="宋体"/>
          <w:color w:val="auto"/>
          <w:sz w:val="24"/>
          <w:szCs w:val="24"/>
          <w:highlight w:val="none"/>
          <w:lang w:val="en-US" w:eastAsia="zh-CN"/>
        </w:rPr>
        <w:t xml:space="preserve">     </w:t>
      </w:r>
      <w:r>
        <w:rPr>
          <w:rFonts w:ascii="宋体"/>
          <w:color w:val="auto"/>
          <w:sz w:val="24"/>
          <w:szCs w:val="24"/>
          <w:highlight w:val="none"/>
        </w:rPr>
        <w:t>日</w:t>
      </w:r>
      <w:bookmarkEnd w:id="547"/>
    </w:p>
    <w:p>
      <w:pPr>
        <w:widowControl w:val="0"/>
        <w:spacing w:line="360" w:lineRule="auto"/>
        <w:ind w:right="480"/>
        <w:rPr>
          <w:rFonts w:hint="eastAsia" w:ascii="宋体"/>
          <w:bCs/>
          <w:color w:val="auto"/>
          <w:sz w:val="24"/>
          <w:szCs w:val="24"/>
          <w:highlight w:val="none"/>
        </w:rPr>
      </w:pPr>
    </w:p>
    <w:p>
      <w:pPr>
        <w:widowControl w:val="0"/>
        <w:spacing w:line="360" w:lineRule="auto"/>
        <w:ind w:right="480"/>
        <w:rPr>
          <w:rFonts w:ascii="宋体"/>
          <w:b/>
          <w:bCs/>
          <w:color w:val="auto"/>
          <w:sz w:val="24"/>
          <w:szCs w:val="24"/>
          <w:highlight w:val="none"/>
        </w:rPr>
      </w:pPr>
      <w:r>
        <w:rPr>
          <w:rFonts w:hint="eastAsia" w:ascii="宋体"/>
          <w:bCs/>
          <w:color w:val="auto"/>
          <w:sz w:val="24"/>
          <w:szCs w:val="24"/>
          <w:highlight w:val="none"/>
        </w:rPr>
        <w:t>▲</w:t>
      </w:r>
      <w:r>
        <w:rPr>
          <w:rFonts w:hint="eastAsia" w:ascii="宋体"/>
          <w:b/>
          <w:bCs/>
          <w:color w:val="auto"/>
          <w:sz w:val="24"/>
          <w:szCs w:val="24"/>
          <w:highlight w:val="none"/>
        </w:rPr>
        <w:t>要求由法定代表人签字、加盖单位公章后，附在采购响应文件中。</w:t>
      </w:r>
    </w:p>
    <w:p>
      <w:pPr>
        <w:widowControl w:val="0"/>
        <w:tabs>
          <w:tab w:val="left" w:pos="360"/>
          <w:tab w:val="left" w:pos="720"/>
          <w:tab w:val="left" w:pos="3060"/>
        </w:tabs>
        <w:spacing w:line="400" w:lineRule="exact"/>
        <w:rPr>
          <w:rFonts w:ascii="宋体"/>
          <w:color w:val="auto"/>
          <w:highlight w:val="none"/>
        </w:rPr>
      </w:pPr>
    </w:p>
    <w:p>
      <w:pPr>
        <w:rPr>
          <w:rFonts w:ascii="宋体"/>
          <w:color w:val="auto"/>
          <w:highlight w:val="none"/>
        </w:rPr>
      </w:pPr>
      <w:r>
        <w:rPr>
          <w:rFonts w:ascii="宋体"/>
          <w:color w:val="auto"/>
          <w:highlight w:val="none"/>
        </w:rPr>
        <w:br w:type="page"/>
      </w:r>
    </w:p>
    <w:p>
      <w:pPr>
        <w:keepNext w:val="0"/>
        <w:keepLines w:val="0"/>
        <w:pageBreakBefore w:val="0"/>
        <w:widowControl w:val="0"/>
        <w:tabs>
          <w:tab w:val="left" w:pos="360"/>
          <w:tab w:val="left" w:pos="720"/>
          <w:tab w:val="left" w:pos="3060"/>
        </w:tabs>
        <w:kinsoku/>
        <w:wordWrap/>
        <w:overflowPunct/>
        <w:topLinePunct w:val="0"/>
        <w:autoSpaceDE/>
        <w:autoSpaceDN/>
        <w:bidi w:val="0"/>
        <w:adjustRightInd/>
        <w:snapToGrid/>
        <w:spacing w:after="313" w:afterLines="100" w:line="400" w:lineRule="exact"/>
        <w:jc w:val="left"/>
        <w:textAlignment w:val="auto"/>
        <w:outlineLvl w:val="1"/>
        <w:rPr>
          <w:rStyle w:val="41"/>
          <w:rFonts w:hint="eastAsia"/>
          <w:color w:val="auto"/>
          <w:sz w:val="28"/>
          <w:szCs w:val="28"/>
          <w:highlight w:val="none"/>
          <w:lang w:val="en-US"/>
        </w:rPr>
      </w:pPr>
      <w:bookmarkStart w:id="548" w:name="_Toc23294"/>
      <w:bookmarkStart w:id="549" w:name="_Toc32552"/>
      <w:bookmarkStart w:id="550" w:name="_Toc32743"/>
      <w:bookmarkStart w:id="551" w:name="_Toc512354300"/>
      <w:bookmarkStart w:id="552" w:name="_Toc10184894"/>
      <w:bookmarkStart w:id="553" w:name="_Toc10122285"/>
      <w:bookmarkStart w:id="554" w:name="_Toc209"/>
      <w:r>
        <w:rPr>
          <w:rStyle w:val="41"/>
          <w:rFonts w:hint="eastAsia"/>
          <w:color w:val="auto"/>
          <w:sz w:val="28"/>
          <w:szCs w:val="28"/>
          <w:highlight w:val="none"/>
        </w:rPr>
        <w:t>格式十</w:t>
      </w:r>
      <w:r>
        <w:rPr>
          <w:rStyle w:val="41"/>
          <w:rFonts w:hint="eastAsia"/>
          <w:color w:val="auto"/>
          <w:sz w:val="28"/>
          <w:szCs w:val="28"/>
          <w:highlight w:val="none"/>
          <w:lang w:val="en-US"/>
        </w:rPr>
        <w:t>一</w:t>
      </w:r>
      <w:bookmarkEnd w:id="548"/>
    </w:p>
    <w:p>
      <w:pPr>
        <w:keepNext w:val="0"/>
        <w:keepLines w:val="0"/>
        <w:pageBreakBefore w:val="0"/>
        <w:widowControl w:val="0"/>
        <w:tabs>
          <w:tab w:val="left" w:pos="360"/>
          <w:tab w:val="left" w:pos="720"/>
          <w:tab w:val="left" w:pos="3060"/>
        </w:tabs>
        <w:kinsoku/>
        <w:wordWrap/>
        <w:overflowPunct/>
        <w:topLinePunct w:val="0"/>
        <w:autoSpaceDE/>
        <w:autoSpaceDN/>
        <w:bidi w:val="0"/>
        <w:adjustRightInd/>
        <w:snapToGrid/>
        <w:spacing w:after="313" w:afterLines="100" w:line="400" w:lineRule="exact"/>
        <w:jc w:val="center"/>
        <w:textAlignment w:val="auto"/>
        <w:outlineLvl w:val="1"/>
        <w:rPr>
          <w:rStyle w:val="41"/>
          <w:color w:val="auto"/>
          <w:highlight w:val="none"/>
        </w:rPr>
      </w:pPr>
      <w:bookmarkStart w:id="555" w:name="_Toc27352"/>
      <w:r>
        <w:rPr>
          <w:rStyle w:val="41"/>
          <w:rFonts w:hint="eastAsia"/>
          <w:color w:val="auto"/>
          <w:highlight w:val="none"/>
        </w:rPr>
        <w:t>供需双方廉洁互保协议</w:t>
      </w:r>
      <w:bookmarkEnd w:id="549"/>
      <w:bookmarkEnd w:id="550"/>
      <w:bookmarkEnd w:id="551"/>
      <w:bookmarkEnd w:id="552"/>
      <w:bookmarkEnd w:id="553"/>
      <w:bookmarkEnd w:id="554"/>
      <w:bookmarkEnd w:id="555"/>
    </w:p>
    <w:p>
      <w:pPr>
        <w:spacing w:line="400" w:lineRule="exact"/>
        <w:rPr>
          <w:rFonts w:ascii="宋体"/>
          <w:color w:val="auto"/>
          <w:sz w:val="24"/>
          <w:szCs w:val="24"/>
          <w:highlight w:val="none"/>
        </w:rPr>
      </w:pPr>
      <w:r>
        <w:rPr>
          <w:rFonts w:ascii="宋体"/>
          <w:color w:val="auto"/>
          <w:sz w:val="24"/>
          <w:szCs w:val="24"/>
          <w:highlight w:val="none"/>
        </w:rPr>
        <w:t>买方：（以下简称甲方）</w:t>
      </w:r>
    </w:p>
    <w:p>
      <w:pPr>
        <w:spacing w:line="400" w:lineRule="exact"/>
        <w:rPr>
          <w:rFonts w:ascii="宋体"/>
          <w:color w:val="auto"/>
          <w:sz w:val="24"/>
          <w:szCs w:val="24"/>
          <w:highlight w:val="none"/>
        </w:rPr>
      </w:pPr>
      <w:r>
        <w:rPr>
          <w:rFonts w:ascii="宋体"/>
          <w:color w:val="auto"/>
          <w:sz w:val="24"/>
          <w:szCs w:val="24"/>
          <w:highlight w:val="none"/>
        </w:rPr>
        <w:t>卖方：（以下简称乙方）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为规范双方业务往来活动，建立诚实守信的商务合作关系，共同维护双方合法权益，防止违法违纪现象发生，经友好协商，双方就业务往来中的廉洁事宜达成此互保协议。</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第一条甲乙双方共同的权利和义务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严格遵守国家有关法律法规，坚持诚实守信原则，恪守商业道德，规范商务人员廉洁从业行为。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双方业务活动坚持公开、公正、诚信、透明的原则（商业秘密和合同文件另有规定的除外），不得损害国家和对方利益。</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发现对方工作人员在业务活动中有违反廉洁规定的行为，有及时要求对方纠正并向对方举报的权利和义务；涉嫌违法的，可以依法向有关部门举报。</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对涉嫌不廉洁的商业行为进行调查时，双方有相互配合、提供证据、作证的义务。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5</w:t>
      </w:r>
      <w:r>
        <w:rPr>
          <w:rFonts w:hint="eastAsia" w:ascii="宋体"/>
          <w:color w:val="auto"/>
          <w:sz w:val="24"/>
          <w:szCs w:val="24"/>
          <w:highlight w:val="none"/>
        </w:rPr>
        <w:t>.</w:t>
      </w:r>
      <w:r>
        <w:rPr>
          <w:rFonts w:ascii="宋体"/>
          <w:color w:val="auto"/>
          <w:sz w:val="24"/>
          <w:szCs w:val="24"/>
          <w:highlight w:val="none"/>
        </w:rPr>
        <w:t>未经对方同意，不向任何新闻媒体、第三人述及有关对方工作人员恪守商业道德方面的评价、信息。</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6</w:t>
      </w:r>
      <w:r>
        <w:rPr>
          <w:rFonts w:hint="eastAsia" w:ascii="宋体"/>
          <w:color w:val="auto"/>
          <w:sz w:val="24"/>
          <w:szCs w:val="24"/>
          <w:highlight w:val="none"/>
        </w:rPr>
        <w:t>.</w:t>
      </w:r>
      <w:r>
        <w:rPr>
          <w:rFonts w:ascii="宋体"/>
          <w:color w:val="auto"/>
          <w:sz w:val="24"/>
          <w:szCs w:val="24"/>
          <w:highlight w:val="none"/>
        </w:rPr>
        <w:t>双方应依法保护举报人员，不得以任何方式对举报人员进行打击报复。</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第二条甲方的廉洁责任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甲方工作人员不得以任何形式索要或接受乙方的礼金、礼品和有价证券，不得在乙方报销任何应由个人支付的各种费用。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甲方工作人员不得私自参加乙方安排的宴请，不得私自接受乙方提供的通讯、交通工具和办公用品，不得向乙方泄露谈判中的商业秘密。</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甲方工作人员不得要求或者接受乙方以住房装修、婚丧嫁娶、家属及其他亲属的工作安排、出国出境、旅游等为理由所提供的方便。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甲方工作人员不得以任何理由向乙方推荐物资供应单位、工程承包或劳务分包单位，合同另有约定除外。</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第三条乙方的廉洁责任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乙方及其工作人员不得为甲方工作人员提供回扣、礼金、有价证券、贵重物品和报销个人费用。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乙方及其工作人员不得为甲方工作人员安排有可能影响公平、公正交易的宴请、健身、娱乐等活动。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乙方及其工作人员不得为甲方工作人员投资入股、个人借款或买卖股票、债券等提供方便。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乙方及其工作人员不得为甲方工作人员购买或装修住房、婚丧嫁娶、配偶子女上学或工作安排以及出国出境、旅游等提供方便。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5</w:t>
      </w:r>
      <w:r>
        <w:rPr>
          <w:rFonts w:hint="eastAsia" w:ascii="宋体"/>
          <w:color w:val="auto"/>
          <w:sz w:val="24"/>
          <w:szCs w:val="24"/>
          <w:highlight w:val="none"/>
        </w:rPr>
        <w:t>.</w:t>
      </w:r>
      <w:r>
        <w:rPr>
          <w:rFonts w:ascii="宋体"/>
          <w:color w:val="auto"/>
          <w:sz w:val="24"/>
          <w:szCs w:val="24"/>
          <w:highlight w:val="none"/>
        </w:rPr>
        <w:t>乙方及其工作人员不得为甲方工作人员在其相关企业挂名兼职、合伙经营、介绍承揽业务等提供方便。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6</w:t>
      </w:r>
      <w:r>
        <w:rPr>
          <w:rFonts w:hint="eastAsia" w:ascii="宋体"/>
          <w:color w:val="auto"/>
          <w:sz w:val="24"/>
          <w:szCs w:val="24"/>
          <w:highlight w:val="none"/>
        </w:rPr>
        <w:t>.</w:t>
      </w:r>
      <w:r>
        <w:rPr>
          <w:rFonts w:ascii="宋体"/>
          <w:color w:val="auto"/>
          <w:sz w:val="24"/>
          <w:szCs w:val="24"/>
          <w:highlight w:val="none"/>
        </w:rPr>
        <w:t>乙方及其工作人员不得利用非法手段向甲方工作人员打探有关涉及甲方的商业秘密、业务渠道等。</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7</w:t>
      </w:r>
      <w:r>
        <w:rPr>
          <w:rFonts w:hint="eastAsia" w:ascii="宋体"/>
          <w:color w:val="auto"/>
          <w:sz w:val="24"/>
          <w:szCs w:val="24"/>
          <w:highlight w:val="none"/>
        </w:rPr>
        <w:t>.</w:t>
      </w:r>
      <w:r>
        <w:rPr>
          <w:rFonts w:ascii="宋体"/>
          <w:color w:val="auto"/>
          <w:sz w:val="24"/>
          <w:szCs w:val="24"/>
          <w:highlight w:val="none"/>
        </w:rPr>
        <w:t>乙方及其工作人员与甲方发生业务往来过程中，不得有弄虚作假、以次充好、虚结虚算等违反诚信原则的行为。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8</w:t>
      </w:r>
      <w:r>
        <w:rPr>
          <w:rFonts w:hint="eastAsia" w:ascii="宋体"/>
          <w:color w:val="auto"/>
          <w:sz w:val="24"/>
          <w:szCs w:val="24"/>
          <w:highlight w:val="none"/>
        </w:rPr>
        <w:t>.</w:t>
      </w:r>
      <w:r>
        <w:rPr>
          <w:rFonts w:ascii="宋体"/>
          <w:color w:val="auto"/>
          <w:sz w:val="24"/>
          <w:szCs w:val="24"/>
          <w:highlight w:val="none"/>
        </w:rPr>
        <w:t>其它违反廉洁规定的行为。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第四条甲方工作人员有违反本协议行为的，甲方应按照管理权限，依据有关规定给予纪律处分、组织处理或经济处罚；涉嫌犯罪的，移交司法机关追究法律责任。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第五条乙方及其工作人员有违反本协议行为的，甲方有权根据情节和所造成的影响采取以下相应措施：</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情节轻微的，要求乙方对相关工作人员进行处分处理，并限期整改。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导致甲方工作人员受到纪律处分、组织处理或构成违法犯罪的，扣罚乙方合同金额50%的违约金，列入永久禁入中煤市场黑名单。</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第六条本协议作为双方签订的所有业务合同的组成部分，与业务合同具有同等法律效力。</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第七条本协议自双方签字盖章之日起生效，有效期与合同履约期一致。</w:t>
      </w:r>
    </w:p>
    <w:p>
      <w:pPr>
        <w:spacing w:line="400" w:lineRule="exact"/>
        <w:ind w:firstLine="480" w:firstLineChars="200"/>
        <w:rPr>
          <w:rFonts w:ascii="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ascii="宋体"/>
          <w:color w:val="auto"/>
          <w:sz w:val="24"/>
          <w:szCs w:val="24"/>
          <w:highlight w:val="none"/>
        </w:rPr>
        <w:t>甲方：（盖章）</w:t>
      </w:r>
      <w:r>
        <w:rPr>
          <w:rFonts w:hint="eastAsia" w:ascii="宋体"/>
          <w:color w:val="auto"/>
          <w:sz w:val="24"/>
          <w:szCs w:val="24"/>
          <w:highlight w:val="none"/>
          <w:lang w:val="en-US" w:eastAsia="zh-CN"/>
        </w:rPr>
        <w:t xml:space="preserve">                         </w:t>
      </w:r>
      <w:r>
        <w:rPr>
          <w:rFonts w:ascii="宋体"/>
          <w:color w:val="auto"/>
          <w:sz w:val="24"/>
          <w:szCs w:val="24"/>
          <w:highlight w:val="none"/>
        </w:rPr>
        <w:t>乙方：（盖章）</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hint="eastAsia" w:ascii="宋体"/>
          <w:color w:val="auto"/>
          <w:sz w:val="24"/>
          <w:szCs w:val="24"/>
          <w:highlight w:val="none"/>
        </w:rPr>
        <w:t>法定代表人：</w:t>
      </w:r>
      <w:r>
        <w:rPr>
          <w:rFonts w:ascii="宋体"/>
          <w:color w:val="auto"/>
          <w:sz w:val="24"/>
          <w:szCs w:val="24"/>
          <w:highlight w:val="none"/>
        </w:rPr>
        <w:t>（签字）</w:t>
      </w:r>
      <w:r>
        <w:rPr>
          <w:rFonts w:hint="eastAsia" w:ascii="宋体"/>
          <w:color w:val="auto"/>
          <w:sz w:val="24"/>
          <w:szCs w:val="24"/>
          <w:highlight w:val="none"/>
          <w:lang w:val="en-US" w:eastAsia="zh-CN"/>
        </w:rPr>
        <w:t xml:space="preserve">                   </w:t>
      </w:r>
      <w:r>
        <w:rPr>
          <w:rFonts w:hint="eastAsia" w:ascii="宋体"/>
          <w:color w:val="auto"/>
          <w:sz w:val="24"/>
          <w:szCs w:val="24"/>
          <w:highlight w:val="none"/>
        </w:rPr>
        <w:t>法定代表人：</w:t>
      </w:r>
      <w:r>
        <w:rPr>
          <w:rFonts w:ascii="宋体"/>
          <w:color w:val="auto"/>
          <w:sz w:val="24"/>
          <w:szCs w:val="24"/>
          <w:highlight w:val="none"/>
        </w:rPr>
        <w:t>（签字）</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ascii="宋体"/>
          <w:color w:val="auto"/>
          <w:sz w:val="24"/>
          <w:szCs w:val="24"/>
          <w:highlight w:val="none"/>
        </w:rPr>
        <w:t>授权代表：（签字）</w:t>
      </w:r>
      <w:r>
        <w:rPr>
          <w:rFonts w:hint="eastAsia" w:ascii="宋体"/>
          <w:color w:val="auto"/>
          <w:sz w:val="24"/>
          <w:szCs w:val="24"/>
          <w:highlight w:val="none"/>
          <w:lang w:val="en-US" w:eastAsia="zh-CN"/>
        </w:rPr>
        <w:t xml:space="preserve">                     </w:t>
      </w:r>
      <w:r>
        <w:rPr>
          <w:rFonts w:ascii="宋体"/>
          <w:color w:val="auto"/>
          <w:sz w:val="24"/>
          <w:szCs w:val="24"/>
          <w:highlight w:val="none"/>
        </w:rPr>
        <w:t>授权代表：（签字）</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ascii="宋体"/>
          <w:color w:val="auto"/>
          <w:sz w:val="24"/>
          <w:szCs w:val="24"/>
          <w:highlight w:val="none"/>
        </w:rPr>
        <w:t>地址：</w:t>
      </w:r>
      <w:r>
        <w:rPr>
          <w:rFonts w:hint="eastAsia" w:ascii="宋体"/>
          <w:color w:val="auto"/>
          <w:sz w:val="24"/>
          <w:szCs w:val="24"/>
          <w:highlight w:val="none"/>
          <w:lang w:val="en-US" w:eastAsia="zh-CN"/>
        </w:rPr>
        <w:t xml:space="preserve">                                 </w:t>
      </w:r>
      <w:r>
        <w:rPr>
          <w:rFonts w:ascii="宋体"/>
          <w:color w:val="auto"/>
          <w:sz w:val="24"/>
          <w:szCs w:val="24"/>
          <w:highlight w:val="none"/>
        </w:rPr>
        <w:t>地址：</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ascii="宋体"/>
          <w:color w:val="auto"/>
          <w:sz w:val="24"/>
          <w:szCs w:val="24"/>
          <w:highlight w:val="none"/>
        </w:rPr>
      </w:pPr>
      <w:r>
        <w:rPr>
          <w:rFonts w:ascii="宋体"/>
          <w:color w:val="auto"/>
          <w:sz w:val="24"/>
          <w:szCs w:val="24"/>
          <w:highlight w:val="none"/>
        </w:rPr>
        <w:t>电话：</w:t>
      </w:r>
      <w:r>
        <w:rPr>
          <w:rFonts w:hint="eastAsia" w:ascii="宋体"/>
          <w:color w:val="auto"/>
          <w:sz w:val="24"/>
          <w:szCs w:val="24"/>
          <w:highlight w:val="none"/>
          <w:lang w:val="en-US" w:eastAsia="zh-CN"/>
        </w:rPr>
        <w:t xml:space="preserve">                                 </w:t>
      </w:r>
      <w:r>
        <w:rPr>
          <w:rFonts w:ascii="宋体"/>
          <w:color w:val="auto"/>
          <w:sz w:val="24"/>
          <w:szCs w:val="24"/>
          <w:highlight w:val="none"/>
        </w:rPr>
        <w:t>电话：</w:t>
      </w:r>
    </w:p>
    <w:p>
      <w:pPr>
        <w:keepNext w:val="0"/>
        <w:keepLines w:val="0"/>
        <w:pageBreakBefore w:val="0"/>
        <w:widowControl/>
        <w:kinsoku/>
        <w:wordWrap/>
        <w:overflowPunct/>
        <w:topLinePunct w:val="0"/>
        <w:autoSpaceDE/>
        <w:autoSpaceDN/>
        <w:bidi w:val="0"/>
        <w:adjustRightInd/>
        <w:snapToGrid/>
        <w:spacing w:line="600" w:lineRule="exact"/>
        <w:ind w:firstLine="1920" w:firstLineChars="800"/>
        <w:textAlignment w:val="auto"/>
        <w:rPr>
          <w:rFonts w:ascii="宋体"/>
          <w:color w:val="auto"/>
          <w:sz w:val="24"/>
          <w:szCs w:val="24"/>
          <w:highlight w:val="none"/>
        </w:rPr>
      </w:pPr>
      <w:r>
        <w:rPr>
          <w:rFonts w:ascii="宋体"/>
          <w:color w:val="auto"/>
          <w:sz w:val="24"/>
          <w:szCs w:val="24"/>
          <w:highlight w:val="none"/>
        </w:rPr>
        <w:t>年</w:t>
      </w:r>
      <w:r>
        <w:rPr>
          <w:rFonts w:hint="eastAsia" w:ascii="宋体"/>
          <w:color w:val="auto"/>
          <w:sz w:val="24"/>
          <w:szCs w:val="24"/>
          <w:highlight w:val="none"/>
          <w:lang w:val="en-US" w:eastAsia="zh-CN"/>
        </w:rPr>
        <w:t xml:space="preserve">    </w:t>
      </w:r>
      <w:r>
        <w:rPr>
          <w:rFonts w:ascii="宋体"/>
          <w:color w:val="auto"/>
          <w:sz w:val="24"/>
          <w:szCs w:val="24"/>
          <w:highlight w:val="none"/>
        </w:rPr>
        <w:t>月</w:t>
      </w:r>
      <w:r>
        <w:rPr>
          <w:rFonts w:hint="eastAsia" w:ascii="宋体"/>
          <w:color w:val="auto"/>
          <w:sz w:val="24"/>
          <w:szCs w:val="24"/>
          <w:highlight w:val="none"/>
          <w:lang w:val="en-US" w:eastAsia="zh-CN"/>
        </w:rPr>
        <w:t xml:space="preserve">    </w:t>
      </w:r>
      <w:r>
        <w:rPr>
          <w:rFonts w:ascii="宋体"/>
          <w:color w:val="auto"/>
          <w:sz w:val="24"/>
          <w:szCs w:val="24"/>
          <w:highlight w:val="none"/>
        </w:rPr>
        <w:t>日</w:t>
      </w:r>
      <w:r>
        <w:rPr>
          <w:rFonts w:hint="eastAsia" w:ascii="宋体"/>
          <w:color w:val="auto"/>
          <w:sz w:val="24"/>
          <w:szCs w:val="24"/>
          <w:highlight w:val="none"/>
          <w:lang w:val="en-US" w:eastAsia="zh-CN"/>
        </w:rPr>
        <w:t xml:space="preserve">                           </w:t>
      </w:r>
      <w:r>
        <w:rPr>
          <w:rFonts w:ascii="宋体"/>
          <w:color w:val="auto"/>
          <w:sz w:val="24"/>
          <w:szCs w:val="24"/>
          <w:highlight w:val="none"/>
        </w:rPr>
        <w:t>年</w:t>
      </w:r>
      <w:r>
        <w:rPr>
          <w:rFonts w:hint="eastAsia" w:ascii="宋体"/>
          <w:color w:val="auto"/>
          <w:sz w:val="24"/>
          <w:szCs w:val="24"/>
          <w:highlight w:val="none"/>
          <w:lang w:val="en-US" w:eastAsia="zh-CN"/>
        </w:rPr>
        <w:t xml:space="preserve">    </w:t>
      </w:r>
      <w:r>
        <w:rPr>
          <w:rFonts w:ascii="宋体"/>
          <w:color w:val="auto"/>
          <w:sz w:val="24"/>
          <w:szCs w:val="24"/>
          <w:highlight w:val="none"/>
        </w:rPr>
        <w:t>月</w:t>
      </w:r>
      <w:r>
        <w:rPr>
          <w:rFonts w:hint="eastAsia" w:ascii="宋体"/>
          <w:color w:val="auto"/>
          <w:sz w:val="24"/>
          <w:szCs w:val="24"/>
          <w:highlight w:val="none"/>
          <w:lang w:val="en-US" w:eastAsia="zh-CN"/>
        </w:rPr>
        <w:t xml:space="preserve">    </w:t>
      </w:r>
      <w:r>
        <w:rPr>
          <w:rFonts w:ascii="宋体"/>
          <w:color w:val="auto"/>
          <w:sz w:val="24"/>
          <w:szCs w:val="24"/>
          <w:highlight w:val="none"/>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color w:val="auto"/>
          <w:highlight w:val="none"/>
        </w:rPr>
      </w:pPr>
    </w:p>
    <w:p>
      <w:pPr>
        <w:widowControl w:val="0"/>
        <w:tabs>
          <w:tab w:val="left" w:pos="360"/>
          <w:tab w:val="left" w:pos="720"/>
          <w:tab w:val="left" w:pos="3060"/>
        </w:tabs>
        <w:spacing w:line="500" w:lineRule="exact"/>
        <w:ind w:left="600" w:leftChars="300" w:firstLine="300" w:firstLineChars="150"/>
        <w:rPr>
          <w:rFonts w:ascii="宋体"/>
          <w:b/>
          <w:color w:val="auto"/>
          <w:kern w:val="2"/>
          <w:sz w:val="24"/>
          <w:szCs w:val="24"/>
          <w:highlight w:val="none"/>
        </w:rPr>
      </w:pPr>
      <w:r>
        <w:rPr>
          <w:color w:val="auto"/>
          <w:highlight w:val="none"/>
        </w:rPr>
        <w:br w:type="page"/>
      </w:r>
    </w:p>
    <w:p>
      <w:pPr>
        <w:pStyle w:val="5"/>
        <w:spacing w:line="360" w:lineRule="auto"/>
        <w:rPr>
          <w:rStyle w:val="41"/>
          <w:rFonts w:hint="eastAsia" w:eastAsia="宋体" w:cs="Times New Roman"/>
          <w:b/>
          <w:color w:val="auto"/>
          <w:sz w:val="28"/>
          <w:szCs w:val="28"/>
          <w:highlight w:val="none"/>
          <w:lang w:val="en-US" w:eastAsia="zh-CN" w:bidi="ar-SA"/>
        </w:rPr>
      </w:pPr>
      <w:bookmarkStart w:id="556" w:name="_Toc151631308"/>
      <w:bookmarkStart w:id="557" w:name="_Toc9708"/>
      <w:bookmarkStart w:id="558" w:name="_Toc31717"/>
      <w:bookmarkStart w:id="559" w:name="_Toc10122287"/>
      <w:bookmarkStart w:id="560" w:name="_Toc10184896"/>
      <w:r>
        <w:rPr>
          <w:rStyle w:val="41"/>
          <w:rFonts w:hint="eastAsia"/>
          <w:b/>
          <w:bCs/>
          <w:color w:val="auto"/>
          <w:sz w:val="28"/>
          <w:szCs w:val="28"/>
          <w:highlight w:val="none"/>
        </w:rPr>
        <w:t>格式十</w:t>
      </w:r>
      <w:r>
        <w:rPr>
          <w:rStyle w:val="41"/>
          <w:rFonts w:hint="eastAsia"/>
          <w:b/>
          <w:bCs/>
          <w:color w:val="auto"/>
          <w:sz w:val="28"/>
          <w:szCs w:val="28"/>
          <w:highlight w:val="none"/>
          <w:lang w:val="en-US" w:eastAsia="zh-CN"/>
        </w:rPr>
        <w:t>二</w:t>
      </w:r>
      <w:r>
        <w:rPr>
          <w:rStyle w:val="41"/>
          <w:rFonts w:hint="eastAsia" w:eastAsia="宋体" w:cs="Times New Roman"/>
          <w:b/>
          <w:color w:val="auto"/>
          <w:sz w:val="28"/>
          <w:szCs w:val="28"/>
          <w:highlight w:val="none"/>
          <w:lang w:val="en-US" w:eastAsia="zh-CN" w:bidi="ar-SA"/>
        </w:rPr>
        <w:t>：安全管理协议</w:t>
      </w:r>
      <w:bookmarkEnd w:id="556"/>
      <w:bookmarkEnd w:id="557"/>
    </w:p>
    <w:p>
      <w:pPr>
        <w:widowControl/>
        <w:snapToGrid w:val="0"/>
        <w:spacing w:before="156" w:beforeLines="50"/>
        <w:ind w:right="600" w:rightChars="300"/>
        <w:rPr>
          <w:rFonts w:hint="eastAsia" w:ascii="宋体" w:hAnsi="宋体"/>
          <w:szCs w:val="21"/>
          <w:lang w:val="zh-CN"/>
        </w:rPr>
      </w:pPr>
      <w:r>
        <w:rPr>
          <w:rFonts w:hint="eastAsia" w:ascii="宋体" w:hAnsi="宋体"/>
          <w:szCs w:val="21"/>
        </w:rPr>
        <w:t>甲方：</w:t>
      </w:r>
      <w:r>
        <w:rPr>
          <w:rFonts w:hint="eastAsia" w:ascii="宋体" w:hAnsi="宋体"/>
          <w:szCs w:val="21"/>
          <w:lang w:val="zh-CN"/>
        </w:rPr>
        <w:t>中煤天津设计工程有限责任公司</w:t>
      </w:r>
    </w:p>
    <w:p>
      <w:pPr>
        <w:widowControl/>
        <w:snapToGrid w:val="0"/>
        <w:spacing w:before="156" w:beforeLines="50"/>
        <w:ind w:right="600" w:rightChars="300"/>
        <w:rPr>
          <w:rFonts w:hint="eastAsia" w:ascii="宋体" w:hAnsi="宋体"/>
          <w:szCs w:val="21"/>
          <w:lang w:val="zh-CN"/>
        </w:rPr>
      </w:pPr>
      <w:r>
        <w:rPr>
          <w:rFonts w:hint="eastAsia" w:ascii="宋体" w:hAnsi="宋体"/>
          <w:szCs w:val="21"/>
          <w:lang w:val="zh-CN"/>
        </w:rPr>
        <w:t>乙方：</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为加强安全生产管理，根据有关规定，甲、乙双方经协商，订立本协议，共同遵守。</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一、乙方应遵守《中华人民共和国安全生产法》、《建筑工程安全生产管理条例》、国家和相关行业安全生产的各项法律法规，具备国家有关法律、行政法规和国家标准、行业标准规定的安全生产条件。</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二、乙方必须建立健全切实可行的安全生产管理规章制度，并认真组织实施，设置安全生产管理机构，配备专门的安全生产管理人员，定期召开安全工作会议，并经常进行安全检查，及时处理事故隐患，确保安全生产。</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三、乙方必须建立完整的工作人员台帐，经乙方法定代表人或授权人签字、并加盖乙方单位公章确认后报甲方备案。如发生人员变更，乙方应及时向甲方报告并更新台帐报甲方备案。甲方根据乙方工作人员台账对进场人员进行准入管理。</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四、甲方对乙方的安全生产实行监督、检查，对乙方的安全生产工作统一协调。乙方应遵守甲方的各项安全生产规程和有关的规章制度，接受甲方统一体系建设、统一生产调度、统一安全培训、统一监督检查、统一考核奖惩的“五统一”管理。</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五、乙方应按照政府、行业有关规定及要求，对其管理、生产、特种作业等人员进行安全教育、培训取证，必须持有合法的资格证书，并保证持证上岗作业，同时提供符合规定的劳动保护。</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六、在合同执行期，由于乙方或乙方人员原因所造成的一切安全事故均由乙方进行妥善处理，并承担由此发生的一切费用；同时甲方有权根据相关规定给予乙方必要的处罚。</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七、乙方在施工或修补缺陷中对本工程以外的其它财产、设施或人身造成的损失、损伤或伤亡等均由乙方负责。</w:t>
      </w:r>
    </w:p>
    <w:p>
      <w:pPr>
        <w:widowControl/>
        <w:snapToGrid w:val="0"/>
        <w:spacing w:before="156" w:beforeLines="50"/>
        <w:ind w:right="600" w:rightChars="300"/>
        <w:rPr>
          <w:rFonts w:ascii="宋体" w:hAnsi="宋体"/>
          <w:szCs w:val="21"/>
          <w:lang w:val="zh-CN"/>
        </w:rPr>
      </w:pPr>
      <w:r>
        <w:rPr>
          <w:rFonts w:hint="eastAsia" w:ascii="宋体" w:hAnsi="宋体"/>
          <w:szCs w:val="21"/>
          <w:lang w:val="zh-CN"/>
        </w:rPr>
        <w:t>八、本协议一式六份，自双方签字盖章之日起生效，双方各执三份。</w:t>
      </w:r>
    </w:p>
    <w:p>
      <w:pPr>
        <w:widowControl/>
        <w:snapToGrid w:val="0"/>
        <w:spacing w:before="156" w:beforeLines="50"/>
        <w:ind w:right="600" w:rightChars="300"/>
        <w:rPr>
          <w:rFonts w:ascii="宋体" w:hAnsi="宋体"/>
          <w:szCs w:val="21"/>
          <w:lang w:val="zh-CN"/>
        </w:rPr>
      </w:pPr>
    </w:p>
    <w:p>
      <w:pPr>
        <w:widowControl/>
        <w:snapToGrid w:val="0"/>
        <w:spacing w:before="156" w:beforeLines="50"/>
        <w:ind w:right="600" w:rightChars="300"/>
        <w:rPr>
          <w:rFonts w:ascii="宋体" w:hAnsi="宋体"/>
          <w:szCs w:val="21"/>
          <w:lang w:val="zh-CN"/>
        </w:rPr>
      </w:pPr>
      <w:r>
        <w:rPr>
          <w:rFonts w:hint="eastAsia" w:ascii="宋体" w:hAnsi="宋体"/>
          <w:szCs w:val="21"/>
          <w:lang w:val="zh-CN"/>
        </w:rPr>
        <w:t>甲方（签字）</w:t>
      </w:r>
      <w:r>
        <w:rPr>
          <w:rFonts w:hint="eastAsia" w:ascii="宋体" w:hAnsi="宋体"/>
          <w:szCs w:val="21"/>
        </w:rPr>
        <w:t xml:space="preserve">                    </w:t>
      </w:r>
      <w:r>
        <w:rPr>
          <w:rFonts w:hint="eastAsia" w:ascii="宋体" w:hAnsi="宋体"/>
          <w:szCs w:val="21"/>
          <w:lang w:val="zh-CN"/>
        </w:rPr>
        <w:t>乙方（签字）</w:t>
      </w:r>
    </w:p>
    <w:p>
      <w:pPr>
        <w:widowControl/>
        <w:snapToGrid w:val="0"/>
        <w:spacing w:before="156" w:beforeLines="50"/>
        <w:ind w:right="600" w:rightChars="300"/>
        <w:rPr>
          <w:rFonts w:ascii="宋体" w:hAnsi="宋体"/>
          <w:szCs w:val="21"/>
          <w:lang w:val="zh-CN"/>
        </w:rPr>
      </w:pPr>
    </w:p>
    <w:p>
      <w:pPr>
        <w:widowControl/>
        <w:snapToGrid w:val="0"/>
        <w:spacing w:before="156" w:beforeLines="50"/>
        <w:ind w:right="600" w:rightChars="300"/>
        <w:rPr>
          <w:rFonts w:ascii="宋体" w:hAnsi="宋体"/>
          <w:szCs w:val="21"/>
          <w:lang w:val="zh-CN"/>
        </w:rPr>
      </w:pPr>
      <w:r>
        <w:rPr>
          <w:rFonts w:hint="eastAsia" w:ascii="宋体" w:hAnsi="宋体"/>
          <w:szCs w:val="21"/>
          <w:lang w:val="zh-CN"/>
        </w:rPr>
        <w:t xml:space="preserve">单位盖章   </w:t>
      </w:r>
      <w:r>
        <w:rPr>
          <w:rFonts w:hint="eastAsia" w:ascii="宋体" w:hAnsi="宋体"/>
          <w:szCs w:val="21"/>
        </w:rPr>
        <w:t xml:space="preserve">                     </w:t>
      </w:r>
      <w:r>
        <w:rPr>
          <w:rFonts w:hint="eastAsia" w:ascii="宋体" w:hAnsi="宋体"/>
          <w:szCs w:val="21"/>
          <w:lang w:val="zh-CN"/>
        </w:rPr>
        <w:t>单位盖章</w:t>
      </w:r>
    </w:p>
    <w:p>
      <w:pPr>
        <w:widowControl/>
        <w:snapToGrid w:val="0"/>
        <w:spacing w:before="156" w:beforeLines="50"/>
        <w:ind w:right="600" w:rightChars="300"/>
        <w:rPr>
          <w:rFonts w:ascii="宋体" w:hAnsi="宋体"/>
          <w:szCs w:val="21"/>
        </w:rPr>
      </w:pPr>
    </w:p>
    <w:p>
      <w:pPr>
        <w:widowControl/>
        <w:snapToGrid w:val="0"/>
        <w:spacing w:before="156" w:beforeLines="50"/>
        <w:ind w:right="600" w:rightChars="300"/>
        <w:jc w:val="right"/>
        <w:rPr>
          <w:rFonts w:ascii="宋体" w:hAnsi="宋体"/>
          <w:szCs w:val="21"/>
        </w:rPr>
      </w:pPr>
      <w:r>
        <w:rPr>
          <w:rFonts w:hint="eastAsia" w:ascii="宋体" w:hAnsi="宋体"/>
          <w:szCs w:val="21"/>
        </w:rPr>
        <w:t xml:space="preserve">年   月   日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rPr>
          <w:rFonts w:ascii="宋体" w:hAnsi="宋体"/>
          <w:b/>
          <w:szCs w:val="21"/>
        </w:rPr>
      </w:pPr>
      <w:r>
        <w:rPr>
          <w:rFonts w:hint="eastAsia" w:ascii="宋体" w:hAnsi="宋体"/>
          <w:b/>
          <w:szCs w:val="21"/>
        </w:rPr>
        <w:br w:type="page"/>
      </w:r>
    </w:p>
    <w:p>
      <w:pPr>
        <w:pStyle w:val="6"/>
        <w:keepNext/>
        <w:keepLines/>
        <w:pageBreakBefore w:val="0"/>
        <w:widowControl/>
        <w:kinsoku/>
        <w:wordWrap/>
        <w:overflowPunct/>
        <w:topLinePunct w:val="0"/>
        <w:autoSpaceDE/>
        <w:autoSpaceDN/>
        <w:bidi w:val="0"/>
        <w:adjustRightInd/>
        <w:snapToGrid/>
        <w:spacing w:before="20" w:after="20" w:line="416" w:lineRule="auto"/>
        <w:textAlignment w:val="auto"/>
        <w:rPr>
          <w:rFonts w:hint="eastAsia"/>
          <w:color w:val="auto"/>
          <w:highlight w:val="none"/>
        </w:rPr>
      </w:pPr>
      <w:r>
        <w:rPr>
          <w:rStyle w:val="41"/>
          <w:rFonts w:hint="eastAsia"/>
          <w:b/>
          <w:bCs/>
          <w:color w:val="auto"/>
          <w:sz w:val="28"/>
          <w:szCs w:val="28"/>
          <w:highlight w:val="none"/>
        </w:rPr>
        <w:t>格式十</w:t>
      </w:r>
      <w:bookmarkEnd w:id="558"/>
      <w:r>
        <w:rPr>
          <w:rStyle w:val="41"/>
          <w:rFonts w:hint="eastAsia"/>
          <w:b/>
          <w:bCs/>
          <w:color w:val="auto"/>
          <w:sz w:val="28"/>
          <w:szCs w:val="28"/>
          <w:highlight w:val="none"/>
          <w:lang w:val="en-US" w:eastAsia="zh-CN"/>
        </w:rPr>
        <w:t>三</w:t>
      </w:r>
      <w:r>
        <w:rPr>
          <w:rStyle w:val="41"/>
          <w:rFonts w:hint="eastAsia"/>
          <w:b/>
          <w:bCs/>
          <w:color w:val="auto"/>
          <w:sz w:val="28"/>
          <w:szCs w:val="28"/>
          <w:highlight w:val="none"/>
        </w:rPr>
        <w:t xml:space="preserve">  </w:t>
      </w:r>
      <w:r>
        <w:rPr>
          <w:rFonts w:hint="eastAsia"/>
          <w:color w:val="auto"/>
          <w:highlight w:val="none"/>
        </w:rPr>
        <w:t xml:space="preserve">                    </w:t>
      </w:r>
    </w:p>
    <w:p>
      <w:pPr>
        <w:pStyle w:val="6"/>
        <w:jc w:val="center"/>
        <w:rPr>
          <w:color w:val="auto"/>
          <w:highlight w:val="none"/>
        </w:rPr>
      </w:pPr>
      <w:bookmarkStart w:id="561" w:name="_Toc11680"/>
      <w:r>
        <w:rPr>
          <w:rFonts w:hint="eastAsia"/>
          <w:color w:val="auto"/>
          <w:highlight w:val="none"/>
        </w:rPr>
        <w:t>其他证明材料</w:t>
      </w:r>
      <w:bookmarkEnd w:id="559"/>
      <w:bookmarkEnd w:id="560"/>
      <w:bookmarkEnd w:id="561"/>
    </w:p>
    <w:p>
      <w:pPr>
        <w:widowControl w:val="0"/>
        <w:tabs>
          <w:tab w:val="left" w:pos="1080"/>
          <w:tab w:val="left" w:pos="1980"/>
          <w:tab w:val="left" w:pos="2160"/>
          <w:tab w:val="left" w:pos="2340"/>
          <w:tab w:val="left" w:pos="2520"/>
          <w:tab w:val="left" w:pos="2700"/>
          <w:tab w:val="left" w:pos="3240"/>
        </w:tabs>
        <w:spacing w:line="400" w:lineRule="exact"/>
        <w:jc w:val="center"/>
        <w:rPr>
          <w:rFonts w:ascii="宋体"/>
          <w:b/>
          <w:color w:val="auto"/>
          <w:kern w:val="2"/>
          <w:sz w:val="28"/>
          <w:szCs w:val="28"/>
          <w:highlight w:val="none"/>
        </w:rPr>
        <w:sectPr>
          <w:pgSz w:w="11907" w:h="16840"/>
          <w:pgMar w:top="1418" w:right="1134" w:bottom="1134" w:left="1474" w:header="1021" w:footer="907" w:gutter="0"/>
          <w:pgNumType w:fmt="decimal" w:start="1"/>
          <w:cols w:space="720" w:num="1"/>
          <w:docGrid w:linePitch="312" w:charSpace="0"/>
        </w:sectPr>
      </w:pPr>
    </w:p>
    <w:p>
      <w:pPr>
        <w:widowControl w:val="0"/>
        <w:spacing w:line="500" w:lineRule="exact"/>
        <w:jc w:val="center"/>
        <w:rPr>
          <w:rFonts w:ascii="宋体"/>
          <w:b/>
          <w:bCs/>
          <w:color w:val="auto"/>
          <w:kern w:val="2"/>
          <w:sz w:val="32"/>
          <w:szCs w:val="32"/>
          <w:highlight w:val="none"/>
        </w:rPr>
      </w:pPr>
      <w:r>
        <w:rPr>
          <w:rFonts w:ascii="宋体"/>
          <w:b/>
          <w:bCs/>
          <w:color w:val="auto"/>
          <w:kern w:val="2"/>
          <w:sz w:val="32"/>
          <w:szCs w:val="32"/>
          <w:highlight w:val="none"/>
        </w:rPr>
        <w:t>第二部分：</w:t>
      </w:r>
      <w:r>
        <w:rPr>
          <w:rFonts w:hint="eastAsia" w:ascii="宋体"/>
          <w:b/>
          <w:bCs/>
          <w:color w:val="auto"/>
          <w:kern w:val="2"/>
          <w:sz w:val="32"/>
          <w:szCs w:val="32"/>
          <w:highlight w:val="none"/>
        </w:rPr>
        <w:t>采购响应</w:t>
      </w:r>
      <w:r>
        <w:rPr>
          <w:rFonts w:ascii="宋体"/>
          <w:b/>
          <w:bCs/>
          <w:color w:val="auto"/>
          <w:kern w:val="2"/>
          <w:sz w:val="32"/>
          <w:szCs w:val="32"/>
          <w:highlight w:val="none"/>
        </w:rPr>
        <w:t>文件</w:t>
      </w:r>
      <w:r>
        <w:rPr>
          <w:rFonts w:hint="eastAsia" w:ascii="宋体"/>
          <w:b/>
          <w:bCs/>
          <w:color w:val="auto"/>
          <w:kern w:val="2"/>
          <w:sz w:val="32"/>
          <w:szCs w:val="32"/>
          <w:highlight w:val="none"/>
        </w:rPr>
        <w:t>技术部分</w:t>
      </w:r>
    </w:p>
    <w:p>
      <w:pPr>
        <w:pStyle w:val="27"/>
        <w:rPr>
          <w:color w:val="auto"/>
          <w:highlight w:val="none"/>
        </w:rPr>
      </w:pPr>
    </w:p>
    <w:p/>
    <w:sectPr>
      <w:pgSz w:w="11907" w:h="16840"/>
      <w:pgMar w:top="1418" w:right="1275" w:bottom="1418" w:left="1531" w:header="1021" w:footer="907"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tabs>
        <w:tab w:val="center" w:pos="4297"/>
        <w:tab w:val="clear" w:pos="4153"/>
        <w:tab w:val="clear" w:pos="8306"/>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6</w:t>
    </w:r>
    <w:r>
      <w:fldChar w:fldCharType="end"/>
    </w:r>
  </w:p>
  <w:p>
    <w:pPr>
      <w:pStyle w:val="17"/>
      <w:tabs>
        <w:tab w:val="center" w:pos="4297"/>
        <w:tab w:val="clear" w:pos="4153"/>
        <w:tab w:val="clear" w:pos="8306"/>
      </w:tabs>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6</w:t>
    </w:r>
    <w:r>
      <w:fldChar w:fldCharType="end"/>
    </w:r>
  </w:p>
  <w:p>
    <w:pPr>
      <w:pStyle w:val="17"/>
      <w:tabs>
        <w:tab w:val="center" w:pos="4297"/>
        <w:tab w:val="clear" w:pos="4153"/>
        <w:tab w:val="clear" w:pos="8306"/>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40" w:lineRule="auto"/>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40" w:lineRule="auto"/>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40"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spacing w:before="100" w:beforeAutospacing="1" w:after="100" w:afterAutospacing="1"/>
      <w:jc w:val="center"/>
      <w:rPr>
        <w:color w:val="75BD42" w:themeColor="accent4"/>
        <w14:textFill>
          <w14:solidFill>
            <w14:schemeClr w14:val="accent4"/>
          </w14:solidFill>
        </w14:textFil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A041A"/>
    <w:multiLevelType w:val="singleLevel"/>
    <w:tmpl w:val="948A041A"/>
    <w:lvl w:ilvl="0" w:tentative="0">
      <w:start w:val="2"/>
      <w:numFmt w:val="decimal"/>
      <w:suff w:val="nothing"/>
      <w:lvlText w:val="%1、"/>
      <w:lvlJc w:val="left"/>
      <w:pPr>
        <w:tabs>
          <w:tab w:val="left" w:pos="0"/>
        </w:tabs>
        <w:ind w:left="0" w:firstLine="0"/>
      </w:pPr>
    </w:lvl>
  </w:abstractNum>
  <w:abstractNum w:abstractNumId="1">
    <w:nsid w:val="D3BCB81A"/>
    <w:multiLevelType w:val="singleLevel"/>
    <w:tmpl w:val="D3BCB81A"/>
    <w:lvl w:ilvl="0" w:tentative="0">
      <w:start w:val="1"/>
      <w:numFmt w:val="decimal"/>
      <w:suff w:val="space"/>
      <w:lvlText w:val="%1)"/>
      <w:lvlJc w:val="left"/>
      <w:pPr>
        <w:tabs>
          <w:tab w:val="left" w:pos="0"/>
        </w:tabs>
        <w:ind w:left="0" w:firstLine="0"/>
      </w:pPr>
    </w:lvl>
  </w:abstractNum>
  <w:abstractNum w:abstractNumId="2">
    <w:nsid w:val="4819674B"/>
    <w:multiLevelType w:val="singleLevel"/>
    <w:tmpl w:val="4819674B"/>
    <w:lvl w:ilvl="0" w:tentative="0">
      <w:start w:val="1"/>
      <w:numFmt w:val="decimal"/>
      <w:suff w:val="nothing"/>
      <w:lvlText w:val="%1、"/>
      <w:lvlJc w:val="left"/>
    </w:lvl>
  </w:abstractNum>
  <w:abstractNum w:abstractNumId="3">
    <w:nsid w:val="5663EB21"/>
    <w:multiLevelType w:val="singleLevel"/>
    <w:tmpl w:val="5663EB21"/>
    <w:lvl w:ilvl="0" w:tentative="0">
      <w:start w:val="8"/>
      <w:numFmt w:val="decimal"/>
      <w:suff w:val="nothing"/>
      <w:lvlText w:val="%1）"/>
      <w:lvlJc w:val="left"/>
    </w:lvl>
  </w:abstractNum>
  <w:abstractNum w:abstractNumId="4">
    <w:nsid w:val="67FA5FD5"/>
    <w:multiLevelType w:val="singleLevel"/>
    <w:tmpl w:val="67FA5FD5"/>
    <w:lvl w:ilvl="0" w:tentative="0">
      <w:start w:val="1"/>
      <w:numFmt w:val="decimal"/>
      <w:pStyle w:val="21"/>
      <w:lvlText w:val="%1."/>
      <w:lvlJc w:val="left"/>
      <w:pPr>
        <w:tabs>
          <w:tab w:val="left" w:pos="2040"/>
        </w:tabs>
        <w:ind w:left="204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OTQyNTE0ZDk2ZTU0MGY3YjY3NDEyMWE3MzVmOGIifQ=="/>
  </w:docVars>
  <w:rsids>
    <w:rsidRoot w:val="50D1708D"/>
    <w:rsid w:val="018A0F31"/>
    <w:rsid w:val="02641C78"/>
    <w:rsid w:val="032338E1"/>
    <w:rsid w:val="036D2DAF"/>
    <w:rsid w:val="036D7252"/>
    <w:rsid w:val="03D57ECA"/>
    <w:rsid w:val="03E97A37"/>
    <w:rsid w:val="0633208D"/>
    <w:rsid w:val="07571DAC"/>
    <w:rsid w:val="084F33CB"/>
    <w:rsid w:val="085130EE"/>
    <w:rsid w:val="0895643B"/>
    <w:rsid w:val="08FC0E5C"/>
    <w:rsid w:val="098A16E3"/>
    <w:rsid w:val="0A186AFC"/>
    <w:rsid w:val="0A356D4B"/>
    <w:rsid w:val="0A42351C"/>
    <w:rsid w:val="0C595CFB"/>
    <w:rsid w:val="0CC95CDE"/>
    <w:rsid w:val="0CD02DC9"/>
    <w:rsid w:val="0DF93BBD"/>
    <w:rsid w:val="0E547045"/>
    <w:rsid w:val="0EFB4F24"/>
    <w:rsid w:val="1021306D"/>
    <w:rsid w:val="104B091B"/>
    <w:rsid w:val="133B07D3"/>
    <w:rsid w:val="17A40244"/>
    <w:rsid w:val="18221F62"/>
    <w:rsid w:val="1AE4185B"/>
    <w:rsid w:val="1B54026D"/>
    <w:rsid w:val="1D28626C"/>
    <w:rsid w:val="1D3C69CE"/>
    <w:rsid w:val="1D660B43"/>
    <w:rsid w:val="1E984D2C"/>
    <w:rsid w:val="20FF1092"/>
    <w:rsid w:val="22AF0896"/>
    <w:rsid w:val="24AE34FB"/>
    <w:rsid w:val="24B14461"/>
    <w:rsid w:val="25777D91"/>
    <w:rsid w:val="27A44741"/>
    <w:rsid w:val="280579E2"/>
    <w:rsid w:val="287E4F92"/>
    <w:rsid w:val="291674A5"/>
    <w:rsid w:val="2A781EB5"/>
    <w:rsid w:val="2BC3072A"/>
    <w:rsid w:val="2CE83322"/>
    <w:rsid w:val="2D7E5A35"/>
    <w:rsid w:val="2DB15E0A"/>
    <w:rsid w:val="2E383840"/>
    <w:rsid w:val="2EB15996"/>
    <w:rsid w:val="2ED26093"/>
    <w:rsid w:val="2EE31FF3"/>
    <w:rsid w:val="2F091202"/>
    <w:rsid w:val="2F3E7100"/>
    <w:rsid w:val="2FD162F0"/>
    <w:rsid w:val="31C75889"/>
    <w:rsid w:val="34313801"/>
    <w:rsid w:val="35AD6EB7"/>
    <w:rsid w:val="35C16E06"/>
    <w:rsid w:val="35E31A65"/>
    <w:rsid w:val="37C8059E"/>
    <w:rsid w:val="38692A5D"/>
    <w:rsid w:val="39604866"/>
    <w:rsid w:val="396808C2"/>
    <w:rsid w:val="3B3B4F65"/>
    <w:rsid w:val="3BBF16F2"/>
    <w:rsid w:val="3BE322C2"/>
    <w:rsid w:val="3C123F18"/>
    <w:rsid w:val="3C9E1C4F"/>
    <w:rsid w:val="3D9E63DB"/>
    <w:rsid w:val="3E03620E"/>
    <w:rsid w:val="3E503DD4"/>
    <w:rsid w:val="40291830"/>
    <w:rsid w:val="40C652D1"/>
    <w:rsid w:val="42336996"/>
    <w:rsid w:val="4267770B"/>
    <w:rsid w:val="42D27F5D"/>
    <w:rsid w:val="43EF27F8"/>
    <w:rsid w:val="447F041D"/>
    <w:rsid w:val="44AB6CB7"/>
    <w:rsid w:val="45747179"/>
    <w:rsid w:val="45E16709"/>
    <w:rsid w:val="46C329DE"/>
    <w:rsid w:val="46CA694E"/>
    <w:rsid w:val="478E2BD5"/>
    <w:rsid w:val="47C34207"/>
    <w:rsid w:val="48E924A4"/>
    <w:rsid w:val="49551929"/>
    <w:rsid w:val="4977360C"/>
    <w:rsid w:val="49EA2030"/>
    <w:rsid w:val="4BE26805"/>
    <w:rsid w:val="4C9646F1"/>
    <w:rsid w:val="4CB64C4E"/>
    <w:rsid w:val="4D5F4AE3"/>
    <w:rsid w:val="4D8B58D8"/>
    <w:rsid w:val="4F2C6C47"/>
    <w:rsid w:val="509B4084"/>
    <w:rsid w:val="50B213CE"/>
    <w:rsid w:val="50D1708D"/>
    <w:rsid w:val="51890380"/>
    <w:rsid w:val="51986815"/>
    <w:rsid w:val="51E349F6"/>
    <w:rsid w:val="51FD48CA"/>
    <w:rsid w:val="52454E88"/>
    <w:rsid w:val="54F358CD"/>
    <w:rsid w:val="557E5D22"/>
    <w:rsid w:val="55C24805"/>
    <w:rsid w:val="55FC3F23"/>
    <w:rsid w:val="56554CD5"/>
    <w:rsid w:val="572B3ADE"/>
    <w:rsid w:val="5730129E"/>
    <w:rsid w:val="583152CE"/>
    <w:rsid w:val="5934151A"/>
    <w:rsid w:val="59C208D3"/>
    <w:rsid w:val="5A132EDD"/>
    <w:rsid w:val="5C62014C"/>
    <w:rsid w:val="5CA50038"/>
    <w:rsid w:val="5CFC40FC"/>
    <w:rsid w:val="5EB804F7"/>
    <w:rsid w:val="5F046D75"/>
    <w:rsid w:val="5F7369F1"/>
    <w:rsid w:val="6065020A"/>
    <w:rsid w:val="60AB42BE"/>
    <w:rsid w:val="6444200F"/>
    <w:rsid w:val="64C80D68"/>
    <w:rsid w:val="654725D5"/>
    <w:rsid w:val="65705687"/>
    <w:rsid w:val="67A45516"/>
    <w:rsid w:val="67B37AAD"/>
    <w:rsid w:val="68ED6FEF"/>
    <w:rsid w:val="69777528"/>
    <w:rsid w:val="69831701"/>
    <w:rsid w:val="6A824A0E"/>
    <w:rsid w:val="6AC41FD2"/>
    <w:rsid w:val="6B632940"/>
    <w:rsid w:val="6BE4292B"/>
    <w:rsid w:val="6C7A503E"/>
    <w:rsid w:val="6C8500B9"/>
    <w:rsid w:val="6E3A2CD6"/>
    <w:rsid w:val="6E587601"/>
    <w:rsid w:val="6F541810"/>
    <w:rsid w:val="6FE74798"/>
    <w:rsid w:val="702E686B"/>
    <w:rsid w:val="71A05546"/>
    <w:rsid w:val="73AB5561"/>
    <w:rsid w:val="73DB4FF9"/>
    <w:rsid w:val="74A2351B"/>
    <w:rsid w:val="750758DC"/>
    <w:rsid w:val="75084788"/>
    <w:rsid w:val="753340C0"/>
    <w:rsid w:val="753D6309"/>
    <w:rsid w:val="755F3023"/>
    <w:rsid w:val="75A924F0"/>
    <w:rsid w:val="75EF253C"/>
    <w:rsid w:val="7621756E"/>
    <w:rsid w:val="77AB402B"/>
    <w:rsid w:val="77B34F09"/>
    <w:rsid w:val="77C6382D"/>
    <w:rsid w:val="79C21DD2"/>
    <w:rsid w:val="7A4647B1"/>
    <w:rsid w:val="7BEA351A"/>
    <w:rsid w:val="7D382AD7"/>
    <w:rsid w:val="7DBB54B6"/>
    <w:rsid w:val="7E7713DD"/>
    <w:rsid w:val="7E9548D5"/>
    <w:rsid w:val="7EAD0AD7"/>
    <w:rsid w:val="7EBA17DA"/>
    <w:rsid w:val="7F802513"/>
    <w:rsid w:val="7FA1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5">
    <w:name w:val="heading 1"/>
    <w:basedOn w:val="1"/>
    <w:next w:val="1"/>
    <w:link w:val="51"/>
    <w:qFormat/>
    <w:uiPriority w:val="0"/>
    <w:pPr>
      <w:keepNext/>
      <w:widowControl w:val="0"/>
      <w:autoSpaceDE w:val="0"/>
      <w:autoSpaceDN w:val="0"/>
      <w:adjustRightInd w:val="0"/>
      <w:spacing w:line="440" w:lineRule="exact"/>
      <w:outlineLvl w:val="0"/>
    </w:pPr>
    <w:rPr>
      <w:rFonts w:ascii="宋体"/>
      <w:b/>
      <w:sz w:val="28"/>
    </w:rPr>
  </w:style>
  <w:style w:type="paragraph" w:styleId="6">
    <w:name w:val="heading 2"/>
    <w:basedOn w:val="1"/>
    <w:next w:val="1"/>
    <w:link w:val="41"/>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0"/>
    <w:pPr>
      <w:keepNext/>
      <w:keepLines/>
      <w:spacing w:before="260" w:after="260" w:line="415" w:lineRule="auto"/>
      <w:outlineLvl w:val="2"/>
    </w:pPr>
    <w:rPr>
      <w:b/>
      <w:bCs/>
      <w:sz w:val="32"/>
      <w:szCs w:val="32"/>
    </w:rPr>
  </w:style>
  <w:style w:type="character" w:default="1" w:styleId="30">
    <w:name w:val="Default Paragraph Font"/>
    <w:semiHidden/>
    <w:qFormat/>
    <w:uiPriority w:val="0"/>
  </w:style>
  <w:style w:type="table" w:default="1" w:styleId="2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autoSpaceDE w:val="0"/>
      <w:autoSpaceDN w:val="0"/>
      <w:adjustRightInd w:val="0"/>
      <w:jc w:val="both"/>
    </w:pPr>
    <w:rPr>
      <w:b/>
      <w:sz w:val="21"/>
    </w:rPr>
  </w:style>
  <w:style w:type="paragraph" w:customStyle="1" w:styleId="3">
    <w:name w:val="Default"/>
    <w:next w:val="4"/>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4">
    <w:name w:val="Normal Indent"/>
    <w:basedOn w:val="1"/>
    <w:next w:val="1"/>
    <w:qFormat/>
    <w:uiPriority w:val="0"/>
    <w:pPr>
      <w:widowControl w:val="0"/>
      <w:ind w:firstLine="420"/>
      <w:jc w:val="both"/>
    </w:pPr>
    <w:rPr>
      <w:kern w:val="2"/>
      <w:sz w:val="21"/>
      <w:szCs w:val="24"/>
    </w:rPr>
  </w:style>
  <w:style w:type="paragraph" w:styleId="8">
    <w:name w:val="table of authorities"/>
    <w:basedOn w:val="1"/>
    <w:next w:val="1"/>
    <w:semiHidden/>
    <w:unhideWhenUsed/>
    <w:qFormat/>
    <w:uiPriority w:val="99"/>
    <w:pPr>
      <w:ind w:left="420" w:leftChars="200"/>
    </w:pPr>
  </w:style>
  <w:style w:type="paragraph" w:styleId="9">
    <w:name w:val="annotation text"/>
    <w:basedOn w:val="1"/>
    <w:qFormat/>
    <w:uiPriority w:val="0"/>
    <w:pPr>
      <w:jc w:val="left"/>
    </w:pPr>
  </w:style>
  <w:style w:type="paragraph" w:styleId="10">
    <w:name w:val="Body Text 3"/>
    <w:basedOn w:val="1"/>
    <w:qFormat/>
    <w:uiPriority w:val="0"/>
    <w:pPr>
      <w:spacing w:after="120"/>
    </w:pPr>
    <w:rPr>
      <w:sz w:val="16"/>
      <w:szCs w:val="16"/>
    </w:rPr>
  </w:style>
  <w:style w:type="paragraph" w:styleId="11">
    <w:name w:val="Body Text Indent"/>
    <w:basedOn w:val="1"/>
    <w:next w:val="12"/>
    <w:qFormat/>
    <w:uiPriority w:val="0"/>
    <w:pPr>
      <w:widowControl w:val="0"/>
      <w:adjustRightInd w:val="0"/>
      <w:spacing w:after="120" w:line="360" w:lineRule="atLeast"/>
      <w:ind w:left="200" w:leftChars="200"/>
      <w:textAlignment w:val="baseline"/>
    </w:pPr>
    <w:rPr>
      <w:sz w:val="24"/>
    </w:rPr>
  </w:style>
  <w:style w:type="paragraph" w:styleId="12">
    <w:name w:val="Body Text First Indent"/>
    <w:basedOn w:val="1"/>
    <w:next w:val="1"/>
    <w:qFormat/>
    <w:uiPriority w:val="0"/>
    <w:pPr>
      <w:adjustRightInd w:val="0"/>
      <w:spacing w:line="360" w:lineRule="auto"/>
      <w:ind w:firstLine="100" w:firstLineChars="100"/>
      <w:textAlignment w:val="baseline"/>
    </w:pPr>
    <w:rPr>
      <w:rFonts w:ascii="宋体"/>
      <w:color w:val="000000"/>
      <w:kern w:val="0"/>
      <w:sz w:val="28"/>
      <w:szCs w:val="24"/>
    </w:rPr>
  </w:style>
  <w:style w:type="paragraph" w:styleId="13">
    <w:name w:val="Block Text"/>
    <w:basedOn w:val="1"/>
    <w:qFormat/>
    <w:uiPriority w:val="99"/>
    <w:pPr>
      <w:adjustRightInd w:val="0"/>
      <w:ind w:left="420" w:right="33"/>
      <w:jc w:val="left"/>
      <w:textAlignment w:val="baseline"/>
    </w:pPr>
    <w:rPr>
      <w:kern w:val="0"/>
      <w:szCs w:val="20"/>
    </w:rPr>
  </w:style>
  <w:style w:type="paragraph" w:styleId="14">
    <w:name w:val="Plain Text"/>
    <w:basedOn w:val="1"/>
    <w:qFormat/>
    <w:uiPriority w:val="0"/>
    <w:pPr>
      <w:widowControl w:val="0"/>
      <w:jc w:val="both"/>
    </w:pPr>
    <w:rPr>
      <w:rFonts w:ascii="宋体"/>
      <w:kern w:val="2"/>
      <w:sz w:val="21"/>
    </w:rPr>
  </w:style>
  <w:style w:type="paragraph" w:styleId="15">
    <w:name w:val="Date"/>
    <w:basedOn w:val="1"/>
    <w:next w:val="1"/>
    <w:qFormat/>
    <w:uiPriority w:val="0"/>
    <w:pPr>
      <w:widowControl w:val="0"/>
      <w:ind w:left="100"/>
      <w:jc w:val="both"/>
    </w:pPr>
    <w:rPr>
      <w:kern w:val="2"/>
      <w:sz w:val="21"/>
    </w:rPr>
  </w:style>
  <w:style w:type="paragraph" w:styleId="16">
    <w:name w:val="Body Text Indent 2"/>
    <w:basedOn w:val="1"/>
    <w:qFormat/>
    <w:uiPriority w:val="0"/>
    <w:pPr>
      <w:spacing w:line="360" w:lineRule="auto"/>
      <w:ind w:firstLine="482"/>
    </w:pPr>
    <w:rPr>
      <w:rFonts w:ascii="仿宋_GB2312"/>
      <w:sz w:val="24"/>
    </w:rPr>
  </w:style>
  <w:style w:type="paragraph" w:styleId="17">
    <w:name w:val="footer"/>
    <w:basedOn w:val="1"/>
    <w:next w:val="1"/>
    <w:qFormat/>
    <w:uiPriority w:val="0"/>
    <w:pPr>
      <w:tabs>
        <w:tab w:val="center" w:pos="4153"/>
        <w:tab w:val="right" w:pos="8306"/>
      </w:tabs>
      <w:snapToGrid w:val="0"/>
    </w:pPr>
    <w:rPr>
      <w:sz w:val="18"/>
      <w:szCs w:val="18"/>
    </w:rPr>
  </w:style>
  <w:style w:type="paragraph" w:styleId="18">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pPr>
      <w:widowControl w:val="0"/>
      <w:tabs>
        <w:tab w:val="right" w:leader="dot" w:pos="8931"/>
      </w:tabs>
      <w:spacing w:before="120" w:after="120"/>
    </w:pPr>
    <w:rPr>
      <w:rFonts w:eastAsia="黑体"/>
      <w:b/>
      <w:bCs/>
      <w:caps/>
      <w:kern w:val="2"/>
      <w:sz w:val="24"/>
      <w:szCs w:val="24"/>
    </w:rPr>
  </w:style>
  <w:style w:type="paragraph" w:styleId="20">
    <w:name w:val="Subtitle"/>
    <w:basedOn w:val="1"/>
    <w:next w:val="1"/>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21">
    <w:name w:val="List Number 5"/>
    <w:basedOn w:val="1"/>
    <w:qFormat/>
    <w:uiPriority w:val="0"/>
    <w:pPr>
      <w:numPr>
        <w:ilvl w:val="0"/>
        <w:numId w:val="1"/>
      </w:numPr>
    </w:pPr>
  </w:style>
  <w:style w:type="paragraph" w:styleId="22">
    <w:name w:val="Body Text Indent 3"/>
    <w:basedOn w:val="1"/>
    <w:qFormat/>
    <w:uiPriority w:val="0"/>
    <w:pPr>
      <w:spacing w:after="120"/>
      <w:ind w:left="200" w:leftChars="200"/>
    </w:pPr>
    <w:rPr>
      <w:sz w:val="16"/>
      <w:szCs w:val="16"/>
    </w:rPr>
  </w:style>
  <w:style w:type="paragraph" w:styleId="23">
    <w:name w:val="toc 2"/>
    <w:basedOn w:val="1"/>
    <w:next w:val="1"/>
    <w:qFormat/>
    <w:uiPriority w:val="39"/>
    <w:pPr>
      <w:ind w:left="200" w:leftChars="200"/>
    </w:pPr>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sz w:val="24"/>
      <w:szCs w:val="24"/>
    </w:rPr>
  </w:style>
  <w:style w:type="paragraph" w:styleId="25">
    <w:name w:val="Normal (Web)"/>
    <w:basedOn w:val="1"/>
    <w:qFormat/>
    <w:uiPriority w:val="0"/>
    <w:pPr>
      <w:spacing w:before="100" w:beforeAutospacing="1" w:after="100" w:afterAutospacing="1"/>
    </w:pPr>
    <w:rPr>
      <w:rFonts w:ascii="宋体"/>
      <w:sz w:val="24"/>
      <w:szCs w:val="24"/>
    </w:rPr>
  </w:style>
  <w:style w:type="paragraph" w:styleId="26">
    <w:name w:val="Title"/>
    <w:basedOn w:val="1"/>
    <w:next w:val="1"/>
    <w:qFormat/>
    <w:uiPriority w:val="0"/>
    <w:pPr>
      <w:spacing w:before="240" w:after="60" w:line="440" w:lineRule="exact"/>
      <w:outlineLvl w:val="0"/>
    </w:pPr>
    <w:rPr>
      <w:rFonts w:ascii="Cambria" w:hAnsi="Cambria"/>
      <w:b/>
      <w:bCs/>
      <w:sz w:val="32"/>
      <w:szCs w:val="32"/>
    </w:rPr>
  </w:style>
  <w:style w:type="paragraph" w:styleId="27">
    <w:name w:val="Body Text First Indent 2"/>
    <w:basedOn w:val="11"/>
    <w:next w:val="14"/>
    <w:qFormat/>
    <w:uiPriority w:val="0"/>
    <w:pPr>
      <w:tabs>
        <w:tab w:val="left" w:pos="1440"/>
      </w:tabs>
      <w:ind w:firstLine="56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Strong"/>
    <w:basedOn w:val="30"/>
    <w:qFormat/>
    <w:uiPriority w:val="0"/>
    <w:rPr>
      <w:b/>
    </w:rPr>
  </w:style>
  <w:style w:type="character" w:styleId="32">
    <w:name w:val="page number"/>
    <w:basedOn w:val="30"/>
    <w:qFormat/>
    <w:uiPriority w:val="0"/>
  </w:style>
  <w:style w:type="character" w:styleId="33">
    <w:name w:val="Hyperlink"/>
    <w:qFormat/>
    <w:uiPriority w:val="0"/>
    <w:rPr>
      <w:color w:val="000000"/>
      <w:u w:val="none"/>
    </w:rPr>
  </w:style>
  <w:style w:type="paragraph" w:customStyle="1" w:styleId="34">
    <w:name w:val="NormalIndent"/>
    <w:basedOn w:val="1"/>
    <w:qFormat/>
    <w:uiPriority w:val="0"/>
    <w:pPr>
      <w:ind w:firstLine="420" w:firstLineChars="200"/>
      <w:textAlignment w:val="baseline"/>
    </w:pPr>
  </w:style>
  <w:style w:type="character" w:customStyle="1" w:styleId="35">
    <w:name w:val="NormalCharacter"/>
    <w:qFormat/>
    <w:uiPriority w:val="0"/>
  </w:style>
  <w:style w:type="paragraph" w:customStyle="1" w:styleId="36">
    <w:name w:val="默认段落字体 Para Char Char Char Char Char Char Char Char Char Char"/>
    <w:basedOn w:val="7"/>
    <w:next w:val="37"/>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b w:val="0"/>
      <w:snapToGrid w:val="0"/>
      <w:sz w:val="24"/>
      <w:szCs w:val="24"/>
    </w:rPr>
  </w:style>
  <w:style w:type="paragraph" w:customStyle="1" w:styleId="37">
    <w:name w:val="正文段落 Char Char Char Char Char Char"/>
    <w:basedOn w:val="1"/>
    <w:next w:val="38"/>
    <w:qFormat/>
    <w:uiPriority w:val="0"/>
    <w:pPr>
      <w:spacing w:before="312" w:beforeLines="100" w:line="520" w:lineRule="exact"/>
      <w:ind w:firstLine="482" w:firstLineChars="200"/>
    </w:pPr>
    <w:rPr>
      <w:rFonts w:ascii="黑体" w:hAnsi="宋体" w:eastAsia="黑体"/>
      <w:b/>
      <w:sz w:val="24"/>
    </w:rPr>
  </w:style>
  <w:style w:type="paragraph" w:customStyle="1" w:styleId="38">
    <w:name w:val="xl24"/>
    <w:basedOn w:val="1"/>
    <w:next w:val="39"/>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39">
    <w:name w:val="章标题"/>
    <w:basedOn w:val="1"/>
    <w:next w:val="1"/>
    <w:qFormat/>
    <w:uiPriority w:val="0"/>
    <w:pPr>
      <w:widowControl/>
      <w:spacing w:before="158" w:after="153" w:line="323" w:lineRule="atLeast"/>
      <w:jc w:val="center"/>
      <w:textAlignment w:val="baseline"/>
    </w:pPr>
    <w:rPr>
      <w:rFonts w:ascii="Arial" w:hAnsi="Times New Roman" w:eastAsia="黑体"/>
      <w:color w:val="000000"/>
      <w:kern w:val="0"/>
      <w:sz w:val="31"/>
      <w:szCs w:val="20"/>
      <w:u w:val="none" w:color="000000"/>
    </w:rPr>
  </w:style>
  <w:style w:type="paragraph" w:customStyle="1" w:styleId="40">
    <w:name w:val="默认段落字体 Para Char"/>
    <w:basedOn w:val="1"/>
    <w:qFormat/>
    <w:uiPriority w:val="0"/>
    <w:pPr>
      <w:widowControl w:val="0"/>
      <w:spacing w:line="360" w:lineRule="auto"/>
      <w:ind w:firstLine="200" w:firstLineChars="200"/>
      <w:jc w:val="both"/>
    </w:pPr>
    <w:rPr>
      <w:rFonts w:ascii="宋体" w:cs="宋体"/>
      <w:kern w:val="2"/>
      <w:sz w:val="24"/>
      <w:szCs w:val="24"/>
    </w:rPr>
  </w:style>
  <w:style w:type="character" w:customStyle="1" w:styleId="41">
    <w:name w:val="标题 2 Char"/>
    <w:basedOn w:val="30"/>
    <w:link w:val="6"/>
    <w:qFormat/>
    <w:uiPriority w:val="0"/>
    <w:rPr>
      <w:rFonts w:ascii="Cambria" w:hAnsi="Cambria"/>
      <w:b/>
      <w:bCs/>
      <w:sz w:val="32"/>
      <w:szCs w:val="32"/>
    </w:rPr>
  </w:style>
  <w:style w:type="character" w:customStyle="1" w:styleId="42">
    <w:name w:val="lawsitemtext"/>
    <w:qFormat/>
    <w:uiPriority w:val="0"/>
  </w:style>
  <w:style w:type="paragraph" w:customStyle="1" w:styleId="43">
    <w:name w:val="表格1"/>
    <w:basedOn w:val="1"/>
    <w:qFormat/>
    <w:uiPriority w:val="0"/>
    <w:pPr>
      <w:tabs>
        <w:tab w:val="left" w:pos="737"/>
      </w:tabs>
      <w:adjustRightInd w:val="0"/>
      <w:spacing w:before="120" w:after="120"/>
      <w:jc w:val="left"/>
      <w:textAlignment w:val="baseline"/>
    </w:pPr>
    <w:rPr>
      <w:rFonts w:ascii="Arial" w:hAnsi="Arial"/>
      <w:kern w:val="24"/>
      <w:sz w:val="24"/>
    </w:rPr>
  </w:style>
  <w:style w:type="paragraph" w:customStyle="1" w:styleId="44">
    <w:name w:val="标书正文"/>
    <w:basedOn w:val="1"/>
    <w:qFormat/>
    <w:uiPriority w:val="0"/>
    <w:pPr>
      <w:spacing w:line="440" w:lineRule="exact"/>
      <w:ind w:firstLine="200" w:firstLineChars="200"/>
    </w:pPr>
    <w:rPr>
      <w:rFonts w:ascii="Arial" w:hAnsi="Arial"/>
      <w:color w:val="000000"/>
      <w:kern w:val="24"/>
      <w:sz w:val="24"/>
    </w:rPr>
  </w:style>
  <w:style w:type="paragraph" w:customStyle="1" w:styleId="45">
    <w:name w:val="表格文字"/>
    <w:basedOn w:val="10"/>
    <w:qFormat/>
    <w:uiPriority w:val="0"/>
    <w:pPr>
      <w:autoSpaceDE w:val="0"/>
      <w:autoSpaceDN w:val="0"/>
      <w:adjustRightInd w:val="0"/>
      <w:spacing w:before="78" w:beforeLines="25" w:after="78" w:afterLines="25"/>
      <w:jc w:val="center"/>
    </w:pPr>
    <w:rPr>
      <w:rFonts w:ascii="宋体" w:hAnsi="宋体" w:eastAsia="宋体"/>
      <w:sz w:val="22"/>
      <w:szCs w:val="22"/>
    </w:rPr>
  </w:style>
  <w:style w:type="paragraph" w:styleId="46">
    <w:name w:val="List Paragraph"/>
    <w:basedOn w:val="1"/>
    <w:qFormat/>
    <w:uiPriority w:val="0"/>
    <w:pPr>
      <w:widowControl w:val="0"/>
      <w:ind w:firstLine="200" w:firstLineChars="200"/>
      <w:jc w:val="both"/>
    </w:pPr>
    <w:rPr>
      <w:rFonts w:ascii="Calibri" w:hAnsi="Calibri"/>
      <w:kern w:val="2"/>
      <w:sz w:val="21"/>
      <w:szCs w:val="22"/>
    </w:rPr>
  </w:style>
  <w:style w:type="paragraph" w:customStyle="1" w:styleId="47">
    <w:name w:val="样式 ymn正文 + 首行缩进:  2 字符"/>
    <w:basedOn w:val="1"/>
    <w:qFormat/>
    <w:uiPriority w:val="0"/>
    <w:pPr>
      <w:adjustRightInd w:val="0"/>
      <w:snapToGrid w:val="0"/>
      <w:spacing w:line="360" w:lineRule="auto"/>
      <w:ind w:firstLine="200" w:firstLineChars="200"/>
    </w:pPr>
    <w:rPr>
      <w:kern w:val="0"/>
      <w:sz w:val="24"/>
      <w:szCs w:val="20"/>
    </w:rPr>
  </w:style>
  <w:style w:type="paragraph" w:customStyle="1" w:styleId="48">
    <w:name w:val="Char Char Char1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49">
    <w:name w:val="段"/>
    <w:qFormat/>
    <w:uiPriority w:val="0"/>
    <w:pPr>
      <w:tabs>
        <w:tab w:val="center" w:pos="4201"/>
        <w:tab w:val="right" w:leader="dot" w:pos="9298"/>
      </w:tabs>
      <w:autoSpaceDE w:val="0"/>
      <w:autoSpaceDN w:val="0"/>
      <w:ind w:firstLine="420" w:firstLineChars="200"/>
      <w:jc w:val="both"/>
    </w:pPr>
    <w:rPr>
      <w:rFonts w:ascii="方正楷体_GB2312" w:hAnsi="Times New Roman" w:eastAsia="宋体" w:cs="Times New Roman"/>
      <w:sz w:val="21"/>
      <w:lang w:val="en-US" w:eastAsia="zh-CN" w:bidi="ar-SA"/>
    </w:rPr>
  </w:style>
  <w:style w:type="paragraph" w:customStyle="1" w:styleId="50">
    <w:name w:val="TableOfAuthoring"/>
    <w:basedOn w:val="1"/>
    <w:next w:val="1"/>
    <w:qFormat/>
    <w:uiPriority w:val="0"/>
    <w:pPr>
      <w:ind w:left="420" w:leftChars="200"/>
      <w:textAlignment w:val="baseline"/>
    </w:pPr>
    <w:rPr>
      <w:rFonts w:cstheme="minorBidi"/>
      <w:sz w:val="24"/>
    </w:rPr>
  </w:style>
  <w:style w:type="character" w:customStyle="1" w:styleId="51">
    <w:name w:val="标题 1 字符"/>
    <w:link w:val="5"/>
    <w:qFormat/>
    <w:uiPriority w:val="9"/>
    <w:rPr>
      <w:rFonts w:ascii="宋体"/>
      <w:b/>
      <w:sz w:val="28"/>
    </w:rPr>
  </w:style>
  <w:style w:type="paragraph" w:customStyle="1" w:styleId="52">
    <w:name w:val="样式 首行缩进:  2 字符1"/>
    <w:basedOn w:val="1"/>
    <w:qFormat/>
    <w:uiPriority w:val="0"/>
    <w:pPr>
      <w:widowControl/>
      <w:ind w:firstLine="200" w:firstLineChars="200"/>
    </w:pPr>
    <w:rPr>
      <w:kern w:val="0"/>
      <w:szCs w:val="28"/>
    </w:rPr>
  </w:style>
  <w:style w:type="paragraph" w:customStyle="1" w:styleId="53">
    <w:name w:val="Default Text"/>
    <w:basedOn w:val="1"/>
    <w:qFormat/>
    <w:uiPriority w:val="0"/>
    <w:pPr>
      <w:widowControl/>
      <w:spacing w:line="240" w:lineRule="auto"/>
      <w:jc w:val="left"/>
    </w:pPr>
    <w:rPr>
      <w:snapToGrid w:val="0"/>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2023-12-28T00:54:00Z</dcterms:created>
  <dc:creator>Rebecca</dc:creator>
  <cp:lastModifiedBy>Rebecca</cp:lastModifiedBy>
  <dcterms:modified xsi:type="dcterms:W3CDTF">2024-04-24T05:54:24Z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DE355826F8894382BB08900D3BD56C93_11</vt:lpwstr>
  </property>
</Properties>
</file>