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hint="eastAsia" w:ascii="方正仿宋简体" w:hAnsi="方正仿宋简体" w:eastAsia="方正仿宋简体" w:cs="方正仿宋简体"/>
          <w:color w:val="000000"/>
          <w:sz w:val="48"/>
          <w:szCs w:val="48"/>
        </w:rPr>
      </w:pPr>
    </w:p>
    <w:p>
      <w:pPr>
        <w:spacing w:line="720" w:lineRule="auto"/>
        <w:jc w:val="center"/>
        <w:rPr>
          <w:rFonts w:hint="eastAsia" w:ascii="方正仿宋简体" w:hAnsi="方正仿宋简体" w:eastAsia="方正仿宋简体" w:cs="方正仿宋简体"/>
          <w:b w:val="0"/>
          <w:bCs w:val="0"/>
          <w:color w:val="000000"/>
          <w:sz w:val="48"/>
          <w:szCs w:val="48"/>
        </w:rPr>
      </w:pPr>
    </w:p>
    <w:p>
      <w:pPr>
        <w:spacing w:line="720" w:lineRule="auto"/>
        <w:jc w:val="center"/>
        <w:rPr>
          <w:rFonts w:hint="eastAsia" w:ascii="方正仿宋简体" w:hAnsi="方正仿宋简体" w:eastAsia="方正仿宋简体" w:cs="方正仿宋简体"/>
          <w:b w:val="0"/>
          <w:bCs w:val="0"/>
          <w:color w:val="000000"/>
          <w:sz w:val="48"/>
          <w:szCs w:val="48"/>
          <w:lang w:eastAsia="zh-CN"/>
        </w:rPr>
      </w:pPr>
      <w:r>
        <w:rPr>
          <w:rFonts w:hint="eastAsia" w:ascii="方正仿宋简体" w:hAnsi="方正仿宋简体" w:eastAsia="方正仿宋简体" w:cs="方正仿宋简体"/>
          <w:b w:val="0"/>
          <w:bCs w:val="0"/>
          <w:color w:val="000000"/>
          <w:sz w:val="48"/>
          <w:szCs w:val="48"/>
          <w:lang w:eastAsia="zh-CN"/>
        </w:rPr>
        <w:t>中煤华晋集团有限公司</w:t>
      </w:r>
    </w:p>
    <w:p>
      <w:pPr>
        <w:spacing w:line="720" w:lineRule="auto"/>
        <w:jc w:val="center"/>
        <w:rPr>
          <w:rFonts w:hint="eastAsia" w:ascii="方正仿宋简体" w:hAnsi="方正仿宋简体" w:eastAsia="方正仿宋简体" w:cs="方正仿宋简体"/>
          <w:b w:val="0"/>
          <w:bCs w:val="0"/>
          <w:color w:val="000000"/>
          <w:sz w:val="48"/>
          <w:szCs w:val="48"/>
          <w:lang w:eastAsia="zh-CN"/>
        </w:rPr>
      </w:pPr>
      <w:r>
        <w:rPr>
          <w:rFonts w:hint="eastAsia" w:ascii="方正仿宋简体" w:hAnsi="方正仿宋简体" w:eastAsia="方正仿宋简体" w:cs="方正仿宋简体"/>
          <w:b w:val="0"/>
          <w:bCs w:val="0"/>
          <w:color w:val="000000"/>
          <w:sz w:val="48"/>
          <w:szCs w:val="48"/>
          <w:lang w:eastAsia="zh-CN"/>
        </w:rPr>
        <w:t>晋城热电分公司</w:t>
      </w:r>
    </w:p>
    <w:p>
      <w:pPr>
        <w:spacing w:line="720" w:lineRule="auto"/>
        <w:jc w:val="center"/>
        <w:rPr>
          <w:rFonts w:hint="eastAsia" w:ascii="方正仿宋简体" w:hAnsi="方正仿宋简体" w:eastAsia="方正仿宋简体" w:cs="方正仿宋简体"/>
          <w:b w:val="0"/>
          <w:bCs w:val="0"/>
          <w:color w:val="000000"/>
          <w:sz w:val="44"/>
          <w:szCs w:val="44"/>
          <w:lang w:eastAsia="zh-CN"/>
        </w:rPr>
      </w:pPr>
    </w:p>
    <w:p>
      <w:pPr>
        <w:spacing w:line="720" w:lineRule="auto"/>
        <w:jc w:val="both"/>
        <w:rPr>
          <w:rFonts w:hint="eastAsia" w:ascii="方正仿宋简体" w:hAnsi="方正仿宋简体" w:eastAsia="方正仿宋简体" w:cs="方正仿宋简体"/>
          <w:b w:val="0"/>
          <w:bCs w:val="0"/>
          <w:color w:val="000000"/>
          <w:sz w:val="36"/>
          <w:szCs w:val="36"/>
        </w:rPr>
      </w:pPr>
      <w:r>
        <w:rPr>
          <w:rFonts w:hint="eastAsia" w:ascii="方正仿宋简体" w:hAnsi="方正仿宋简体" w:eastAsia="方正仿宋简体" w:cs="方正仿宋简体"/>
          <w:b w:val="0"/>
          <w:bCs w:val="0"/>
          <w:color w:val="000000"/>
          <w:sz w:val="36"/>
          <w:szCs w:val="36"/>
        </w:rPr>
        <w:t>项目名称：</w:t>
      </w:r>
    </w:p>
    <w:p>
      <w:pPr>
        <w:spacing w:line="720" w:lineRule="auto"/>
        <w:jc w:val="center"/>
        <w:rPr>
          <w:rFonts w:hint="default" w:ascii="方正仿宋简体" w:hAnsi="方正仿宋简体" w:eastAsia="方正仿宋简体" w:cs="方正仿宋简体"/>
          <w:b w:val="0"/>
          <w:bCs w:val="0"/>
          <w:color w:val="000000"/>
          <w:sz w:val="36"/>
          <w:szCs w:val="36"/>
          <w:u w:val="single"/>
          <w:lang w:val="en-US" w:eastAsia="zh-CN"/>
        </w:rPr>
      </w:pPr>
      <w:r>
        <w:rPr>
          <w:rFonts w:hint="eastAsia" w:ascii="方正仿宋简体" w:hAnsi="方正仿宋简体" w:eastAsia="方正仿宋简体" w:cs="方正仿宋简体"/>
          <w:b w:val="0"/>
          <w:bCs w:val="0"/>
          <w:color w:val="000000"/>
          <w:sz w:val="36"/>
          <w:szCs w:val="36"/>
          <w:u w:val="single"/>
          <w:lang w:val="en-US" w:eastAsia="zh-CN"/>
        </w:rPr>
        <w:t>Abakuz便携式颗粒度仪维修项目</w:t>
      </w:r>
    </w:p>
    <w:p>
      <w:pPr>
        <w:spacing w:line="720" w:lineRule="auto"/>
        <w:jc w:val="center"/>
        <w:rPr>
          <w:rFonts w:hint="eastAsia" w:ascii="方正仿宋简体" w:hAnsi="方正仿宋简体" w:eastAsia="方正仿宋简体" w:cs="方正仿宋简体"/>
          <w:b w:val="0"/>
          <w:bCs w:val="0"/>
          <w:color w:val="000000"/>
          <w:sz w:val="32"/>
          <w:szCs w:val="32"/>
          <w:u w:val="single"/>
          <w:lang w:val="en-US" w:eastAsia="zh-CN"/>
        </w:rPr>
      </w:pPr>
    </w:p>
    <w:p>
      <w:pPr>
        <w:spacing w:line="720" w:lineRule="auto"/>
        <w:jc w:val="center"/>
        <w:rPr>
          <w:rFonts w:hint="eastAsia" w:ascii="方正仿宋简体" w:hAnsi="方正仿宋简体" w:eastAsia="方正仿宋简体" w:cs="方正仿宋简体"/>
          <w:b w:val="0"/>
          <w:bCs w:val="0"/>
          <w:color w:val="000000"/>
          <w:sz w:val="44"/>
          <w:szCs w:val="44"/>
        </w:rPr>
      </w:pPr>
      <w:r>
        <w:rPr>
          <w:rFonts w:hint="eastAsia" w:ascii="方正仿宋简体" w:hAnsi="方正仿宋简体" w:eastAsia="方正仿宋简体" w:cs="方正仿宋简体"/>
          <w:b w:val="0"/>
          <w:bCs w:val="0"/>
          <w:color w:val="000000"/>
          <w:sz w:val="44"/>
          <w:szCs w:val="44"/>
        </w:rPr>
        <w:t>技术规格书</w:t>
      </w:r>
    </w:p>
    <w:p>
      <w:pPr>
        <w:spacing w:line="720" w:lineRule="auto"/>
        <w:jc w:val="center"/>
        <w:rPr>
          <w:rFonts w:hint="eastAsia" w:ascii="方正仿宋简体" w:hAnsi="方正仿宋简体" w:eastAsia="方正仿宋简体" w:cs="方正仿宋简体"/>
          <w:b w:val="0"/>
          <w:bCs w:val="0"/>
          <w:color w:val="000000"/>
          <w:sz w:val="44"/>
          <w:szCs w:val="44"/>
        </w:rPr>
      </w:pPr>
    </w:p>
    <w:p>
      <w:pPr>
        <w:spacing w:line="720" w:lineRule="auto"/>
        <w:jc w:val="center"/>
        <w:rPr>
          <w:rFonts w:hint="eastAsia" w:ascii="方正仿宋简体" w:hAnsi="方正仿宋简体" w:eastAsia="方正仿宋简体" w:cs="方正仿宋简体"/>
          <w:b w:val="0"/>
          <w:bCs w:val="0"/>
          <w:color w:val="000000"/>
          <w:sz w:val="36"/>
          <w:szCs w:val="36"/>
          <w:u w:val="none"/>
        </w:rPr>
      </w:pPr>
      <w:r>
        <w:rPr>
          <w:rFonts w:hint="eastAsia" w:ascii="方正仿宋简体" w:hAnsi="方正仿宋简体" w:eastAsia="方正仿宋简体" w:cs="方正仿宋简体"/>
          <w:b w:val="0"/>
          <w:bCs w:val="0"/>
          <w:color w:val="000000"/>
          <w:sz w:val="36"/>
          <w:szCs w:val="36"/>
        </w:rPr>
        <w:t>(技术联系人：</w:t>
      </w:r>
      <w:r>
        <w:rPr>
          <w:rFonts w:hint="eastAsia" w:ascii="方正仿宋简体" w:hAnsi="方正仿宋简体" w:eastAsia="方正仿宋简体" w:cs="方正仿宋简体"/>
          <w:b w:val="0"/>
          <w:bCs w:val="0"/>
          <w:color w:val="000000"/>
          <w:sz w:val="36"/>
          <w:szCs w:val="36"/>
          <w:u w:val="single"/>
        </w:rPr>
        <w:t xml:space="preserve"> </w:t>
      </w:r>
      <w:r>
        <w:rPr>
          <w:rFonts w:hint="eastAsia" w:ascii="方正仿宋简体" w:hAnsi="方正仿宋简体" w:eastAsia="方正仿宋简体" w:cs="方正仿宋简体"/>
          <w:b w:val="0"/>
          <w:bCs w:val="0"/>
          <w:color w:val="000000"/>
          <w:sz w:val="36"/>
          <w:szCs w:val="36"/>
          <w:u w:val="single"/>
          <w:lang w:val="en-US" w:eastAsia="zh-CN"/>
        </w:rPr>
        <w:t>李 霞</w:t>
      </w:r>
      <w:r>
        <w:rPr>
          <w:rFonts w:hint="eastAsia" w:ascii="方正仿宋简体" w:hAnsi="方正仿宋简体" w:eastAsia="方正仿宋简体" w:cs="方正仿宋简体"/>
          <w:b w:val="0"/>
          <w:bCs w:val="0"/>
          <w:color w:val="000000"/>
          <w:sz w:val="36"/>
          <w:szCs w:val="36"/>
          <w:u w:val="single"/>
        </w:rPr>
        <w:t xml:space="preserve"> </w:t>
      </w:r>
      <w:r>
        <w:rPr>
          <w:rFonts w:hint="eastAsia" w:ascii="方正仿宋简体" w:hAnsi="方正仿宋简体" w:eastAsia="方正仿宋简体" w:cs="方正仿宋简体"/>
          <w:b w:val="0"/>
          <w:bCs w:val="0"/>
          <w:color w:val="000000"/>
          <w:sz w:val="36"/>
          <w:szCs w:val="36"/>
        </w:rPr>
        <w:t xml:space="preserve"> 联系方式：</w:t>
      </w:r>
      <w:r>
        <w:rPr>
          <w:rFonts w:hint="eastAsia" w:ascii="方正仿宋简体" w:hAnsi="方正仿宋简体" w:eastAsia="方正仿宋简体" w:cs="方正仿宋简体"/>
          <w:b w:val="0"/>
          <w:bCs w:val="0"/>
          <w:color w:val="000000"/>
          <w:sz w:val="36"/>
          <w:szCs w:val="36"/>
          <w:u w:val="single"/>
          <w:lang w:val="en-US" w:eastAsia="zh-CN"/>
        </w:rPr>
        <w:t>18735609526</w:t>
      </w:r>
      <w:r>
        <w:rPr>
          <w:rFonts w:hint="eastAsia" w:ascii="方正仿宋简体" w:hAnsi="方正仿宋简体" w:eastAsia="方正仿宋简体" w:cs="方正仿宋简体"/>
          <w:b w:val="0"/>
          <w:bCs w:val="0"/>
          <w:color w:val="000000"/>
          <w:sz w:val="36"/>
          <w:szCs w:val="36"/>
          <w:u w:val="none"/>
          <w:lang w:val="en-US" w:eastAsia="zh-CN"/>
        </w:rPr>
        <w:t>)</w:t>
      </w:r>
    </w:p>
    <w:p>
      <w:pPr>
        <w:spacing w:line="720" w:lineRule="auto"/>
        <w:jc w:val="both"/>
        <w:rPr>
          <w:rFonts w:ascii="宋体" w:hAnsi="宋体" w:eastAsia="宋体" w:cs="宋体"/>
          <w:color w:val="000000"/>
          <w:sz w:val="44"/>
          <w:szCs w:val="44"/>
        </w:rPr>
      </w:pPr>
    </w:p>
    <w:p>
      <w:pPr>
        <w:rPr>
          <w:rFonts w:hint="eastAsia" w:ascii="宋体" w:hAnsi="宋体" w:cs="宋体"/>
          <w:sz w:val="24"/>
          <w:szCs w:val="24"/>
        </w:rPr>
      </w:pPr>
      <w:bookmarkStart w:id="0" w:name="_Toc426633965"/>
      <w:bookmarkStart w:id="1" w:name="_Toc307386273"/>
      <w:r>
        <w:rPr>
          <w:rFonts w:hint="eastAsia" w:ascii="宋体" w:hAnsi="宋体" w:cs="宋体"/>
          <w:sz w:val="24"/>
          <w:szCs w:val="24"/>
        </w:rPr>
        <w:br w:type="page"/>
      </w:r>
    </w:p>
    <w:p>
      <w:pPr>
        <w:pStyle w:val="3"/>
        <w:widowControl/>
        <w:adjustRightInd w:val="0"/>
        <w:spacing w:before="0" w:after="0" w:line="360" w:lineRule="auto"/>
        <w:textAlignment w:val="baseline"/>
        <w:rPr>
          <w:rFonts w:ascii="宋体" w:hAnsi="宋体" w:cs="宋体"/>
          <w:sz w:val="24"/>
          <w:szCs w:val="24"/>
        </w:rPr>
      </w:pPr>
      <w:r>
        <w:rPr>
          <w:rFonts w:hint="eastAsia" w:ascii="宋体" w:hAnsi="宋体" w:cs="宋体"/>
          <w:sz w:val="24"/>
          <w:szCs w:val="24"/>
        </w:rPr>
        <w:t>1. 总则</w:t>
      </w:r>
      <w:bookmarkEnd w:id="0"/>
      <w:bookmarkEnd w:id="1"/>
    </w:p>
    <w:p>
      <w:pPr>
        <w:widowControl/>
        <w:spacing w:line="360" w:lineRule="auto"/>
        <w:ind w:firstLine="480" w:firstLineChars="200"/>
        <w:jc w:val="left"/>
        <w:rPr>
          <w:rFonts w:hint="eastAsia" w:ascii="宋体" w:hAnsi="宋体" w:eastAsia="宋体" w:cs="宋体"/>
          <w:kern w:val="0"/>
          <w:sz w:val="24"/>
          <w:szCs w:val="28"/>
        </w:rPr>
      </w:pPr>
      <w:bookmarkStart w:id="2" w:name="_Toc107218136"/>
      <w:bookmarkStart w:id="3" w:name="_Toc107455623"/>
      <w:bookmarkStart w:id="4" w:name="_Toc107455677"/>
      <w:r>
        <w:rPr>
          <w:rFonts w:hint="eastAsia" w:ascii="宋体" w:hAnsi="宋体" w:eastAsia="宋体" w:cs="宋体"/>
          <w:kern w:val="0"/>
          <w:sz w:val="24"/>
          <w:szCs w:val="28"/>
        </w:rPr>
        <w:t>1.1 本技术规范适用于中煤华晋</w:t>
      </w:r>
      <w:r>
        <w:rPr>
          <w:rFonts w:hint="eastAsia" w:ascii="宋体" w:hAnsi="宋体" w:eastAsia="宋体" w:cs="宋体"/>
          <w:kern w:val="0"/>
          <w:sz w:val="24"/>
          <w:szCs w:val="28"/>
          <w:lang w:eastAsia="zh-CN"/>
        </w:rPr>
        <w:t>集团</w:t>
      </w:r>
      <w:r>
        <w:rPr>
          <w:rFonts w:hint="eastAsia" w:ascii="宋体" w:hAnsi="宋体" w:eastAsia="宋体" w:cs="宋体"/>
          <w:kern w:val="0"/>
          <w:sz w:val="24"/>
          <w:szCs w:val="28"/>
        </w:rPr>
        <w:t>有限公司</w:t>
      </w:r>
      <w:r>
        <w:rPr>
          <w:rFonts w:hint="eastAsia" w:ascii="宋体" w:hAnsi="宋体" w:eastAsia="宋体" w:cs="宋体"/>
          <w:kern w:val="0"/>
          <w:sz w:val="24"/>
          <w:szCs w:val="28"/>
          <w:lang w:val="en-US" w:eastAsia="zh-CN"/>
        </w:rPr>
        <w:t>晋城热电分公司Abakuz便携式颗粒度仪维修项目</w:t>
      </w:r>
      <w:r>
        <w:rPr>
          <w:rFonts w:hint="eastAsia" w:ascii="宋体" w:hAnsi="宋体" w:eastAsia="宋体" w:cs="宋体"/>
          <w:kern w:val="0"/>
          <w:sz w:val="24"/>
          <w:szCs w:val="28"/>
          <w:lang w:eastAsia="zh-CN"/>
        </w:rPr>
        <w:t>工作的</w:t>
      </w:r>
      <w:r>
        <w:rPr>
          <w:rFonts w:hint="eastAsia" w:ascii="宋体" w:hAnsi="宋体" w:eastAsia="宋体" w:cs="宋体"/>
          <w:kern w:val="0"/>
          <w:sz w:val="24"/>
          <w:szCs w:val="28"/>
        </w:rPr>
        <w:t>技术要求。</w:t>
      </w:r>
    </w:p>
    <w:p>
      <w:pPr>
        <w:widowControl/>
        <w:spacing w:line="360" w:lineRule="auto"/>
        <w:ind w:firstLine="480" w:firstLineChars="200"/>
        <w:jc w:val="left"/>
        <w:rPr>
          <w:rFonts w:ascii="宋体" w:hAnsi="宋体" w:eastAsia="宋体" w:cs="宋体"/>
          <w:sz w:val="24"/>
          <w:szCs w:val="28"/>
        </w:rPr>
      </w:pPr>
      <w:r>
        <w:rPr>
          <w:rFonts w:hint="eastAsia" w:ascii="宋体" w:hAnsi="宋体" w:eastAsia="宋体" w:cs="宋体"/>
          <w:kern w:val="0"/>
          <w:sz w:val="24"/>
          <w:szCs w:val="28"/>
        </w:rPr>
        <w:t>1.2 本技术规范所提及的技术要求都是最低限度的要求，并未对一切技术细节作出规定，也未充分</w:t>
      </w:r>
      <w:r>
        <w:rPr>
          <w:rFonts w:hint="eastAsia" w:ascii="宋体" w:hAnsi="宋体" w:eastAsia="宋体" w:cs="宋体"/>
          <w:kern w:val="0"/>
          <w:sz w:val="24"/>
          <w:szCs w:val="28"/>
          <w:lang w:val="en-US" w:eastAsia="zh-CN"/>
        </w:rPr>
        <w:t>地详述</w:t>
      </w:r>
      <w:r>
        <w:rPr>
          <w:rFonts w:hint="eastAsia" w:ascii="宋体" w:hAnsi="宋体" w:eastAsia="宋体" w:cs="宋体"/>
          <w:kern w:val="0"/>
          <w:sz w:val="24"/>
          <w:szCs w:val="28"/>
        </w:rPr>
        <w:t>有关标准和规范的条文，</w:t>
      </w:r>
      <w:r>
        <w:rPr>
          <w:rFonts w:hint="eastAsia" w:ascii="宋体" w:hAnsi="宋体" w:eastAsia="宋体" w:cs="宋体"/>
          <w:kern w:val="0"/>
          <w:sz w:val="24"/>
          <w:szCs w:val="28"/>
          <w:lang w:val="en-US" w:eastAsia="zh-CN"/>
        </w:rPr>
        <w:t>报价单位</w:t>
      </w:r>
      <w:r>
        <w:rPr>
          <w:rFonts w:hint="eastAsia" w:ascii="宋体" w:hAnsi="宋体" w:eastAsia="宋体" w:cs="宋体"/>
          <w:kern w:val="0"/>
          <w:sz w:val="24"/>
          <w:szCs w:val="28"/>
        </w:rPr>
        <w:t>应保证提供符合本技术规范和相关标准的相应服务。对国家有关安全、环保等强制性标准必须满足其要求。</w:t>
      </w:r>
    </w:p>
    <w:p>
      <w:pPr>
        <w:widowControl/>
        <w:snapToGrid w:val="0"/>
        <w:spacing w:line="360" w:lineRule="auto"/>
        <w:ind w:firstLine="480" w:firstLineChars="200"/>
        <w:jc w:val="left"/>
        <w:rPr>
          <w:rFonts w:ascii="宋体" w:hAnsi="宋体" w:eastAsia="宋体" w:cs="宋体"/>
          <w:sz w:val="24"/>
          <w:szCs w:val="28"/>
        </w:rPr>
      </w:pPr>
      <w:r>
        <w:rPr>
          <w:rFonts w:hint="eastAsia" w:ascii="宋体" w:hAnsi="宋体" w:eastAsia="宋体" w:cs="宋体"/>
          <w:kern w:val="0"/>
          <w:sz w:val="24"/>
          <w:szCs w:val="28"/>
        </w:rPr>
        <w:t xml:space="preserve">1.3 </w:t>
      </w:r>
      <w:r>
        <w:rPr>
          <w:rFonts w:hint="eastAsia" w:ascii="宋体" w:hAnsi="宋体" w:eastAsia="宋体" w:cs="宋体"/>
          <w:kern w:val="0"/>
          <w:sz w:val="24"/>
          <w:szCs w:val="28"/>
          <w:lang w:val="en-US" w:eastAsia="zh-CN"/>
        </w:rPr>
        <w:t>报价单位</w:t>
      </w:r>
      <w:r>
        <w:rPr>
          <w:rFonts w:hint="eastAsia" w:ascii="宋体" w:hAnsi="宋体" w:eastAsia="宋体" w:cs="宋体"/>
          <w:kern w:val="0"/>
          <w:sz w:val="24"/>
          <w:szCs w:val="28"/>
        </w:rPr>
        <w:t>须执行本技术规范所列要求、标准。本技术规范中未提及的内容均应满足或优于本技术规范所列的国家标准、电力行业标准。本技术规范所使用的标准，如遇到与</w:t>
      </w:r>
      <w:r>
        <w:rPr>
          <w:rFonts w:hint="eastAsia" w:ascii="宋体" w:hAnsi="宋体" w:eastAsia="宋体" w:cs="宋体"/>
          <w:kern w:val="0"/>
          <w:sz w:val="24"/>
          <w:szCs w:val="28"/>
          <w:lang w:val="en-US" w:eastAsia="zh-CN"/>
        </w:rPr>
        <w:t>报价单位</w:t>
      </w:r>
      <w:r>
        <w:rPr>
          <w:rFonts w:hint="eastAsia" w:ascii="宋体" w:hAnsi="宋体" w:eastAsia="宋体" w:cs="宋体"/>
          <w:kern w:val="0"/>
          <w:sz w:val="24"/>
          <w:szCs w:val="28"/>
        </w:rPr>
        <w:t>所执行的标准不一致时，按较高的标准执行。</w:t>
      </w:r>
    </w:p>
    <w:bookmarkEnd w:id="2"/>
    <w:bookmarkEnd w:id="3"/>
    <w:bookmarkEnd w:id="4"/>
    <w:p>
      <w:pPr>
        <w:widowControl/>
        <w:spacing w:line="360" w:lineRule="auto"/>
        <w:ind w:firstLine="480" w:firstLineChars="200"/>
        <w:jc w:val="left"/>
        <w:rPr>
          <w:rFonts w:hint="eastAsia" w:ascii="宋体" w:hAnsi="宋体" w:cs="宋体"/>
          <w:sz w:val="24"/>
          <w:szCs w:val="28"/>
          <w:shd w:val="clear" w:fill="FFFF00"/>
          <w:lang w:val="en-US" w:eastAsia="zh-CN"/>
        </w:rPr>
      </w:pPr>
      <w:r>
        <w:rPr>
          <w:rFonts w:hint="eastAsia" w:ascii="宋体" w:hAnsi="宋体" w:eastAsia="宋体" w:cs="宋体"/>
          <w:sz w:val="24"/>
          <w:szCs w:val="28"/>
          <w:lang w:val="en-US" w:eastAsia="zh-CN"/>
        </w:rPr>
        <w:t>1.4</w:t>
      </w:r>
      <w:r>
        <w:rPr>
          <w:rFonts w:hint="eastAsia" w:ascii="宋体" w:hAnsi="宋体" w:cs="宋体"/>
          <w:sz w:val="24"/>
          <w:szCs w:val="28"/>
          <w:lang w:val="en-US" w:eastAsia="zh-CN"/>
        </w:rPr>
        <w:t>技术答疑：晋城热电分公司生产技术部，答疑电话为</w:t>
      </w:r>
      <w:r>
        <w:rPr>
          <w:rFonts w:hint="eastAsia" w:ascii="宋体" w:hAnsi="宋体" w:cs="宋体"/>
          <w:sz w:val="24"/>
          <w:szCs w:val="28"/>
          <w:shd w:val="clear"/>
          <w:lang w:val="en-US" w:eastAsia="zh-CN"/>
        </w:rPr>
        <w:t>0356-6968519</w:t>
      </w:r>
    </w:p>
    <w:p>
      <w:pPr>
        <w:widowControl/>
        <w:spacing w:line="360" w:lineRule="auto"/>
        <w:ind w:firstLine="482" w:firstLineChars="200"/>
        <w:jc w:val="left"/>
        <w:rPr>
          <w:rFonts w:hint="eastAsia" w:ascii="宋体" w:hAnsi="宋体" w:eastAsia="宋体" w:cs="宋体"/>
          <w:b/>
          <w:bCs/>
          <w:sz w:val="24"/>
          <w:szCs w:val="28"/>
          <w:lang w:val="en-US" w:eastAsia="zh-CN"/>
        </w:rPr>
      </w:pPr>
      <w:r>
        <w:rPr>
          <w:rFonts w:hint="eastAsia" w:ascii="宋体" w:hAnsi="宋体" w:eastAsia="宋体" w:cs="宋体"/>
          <w:b/>
          <w:bCs/>
          <w:sz w:val="24"/>
          <w:szCs w:val="28"/>
          <w:lang w:val="en-US" w:eastAsia="zh-CN"/>
        </w:rPr>
        <w:t>1.5报价单位资质要求：</w:t>
      </w:r>
    </w:p>
    <w:p>
      <w:pPr>
        <w:widowControl/>
        <w:spacing w:line="360" w:lineRule="auto"/>
        <w:ind w:firstLine="480" w:firstLineChars="200"/>
        <w:jc w:val="left"/>
        <w:rPr>
          <w:rFonts w:hint="eastAsia" w:ascii="宋体" w:hAnsi="宋体" w:cs="宋体"/>
          <w:sz w:val="24"/>
          <w:szCs w:val="28"/>
          <w:lang w:val="en-US" w:eastAsia="zh-CN"/>
        </w:rPr>
      </w:pPr>
      <w:r>
        <w:rPr>
          <w:rFonts w:hint="eastAsia" w:ascii="宋体" w:hAnsi="宋体" w:cs="宋体"/>
          <w:sz w:val="24"/>
          <w:szCs w:val="28"/>
          <w:lang w:val="en-US" w:eastAsia="zh-CN"/>
        </w:rPr>
        <w:t>1.5.1必须为在中华人民共和国境内注册的法人或其它组织。</w:t>
      </w:r>
    </w:p>
    <w:p>
      <w:pPr>
        <w:widowControl/>
        <w:spacing w:line="360" w:lineRule="auto"/>
        <w:ind w:firstLine="480" w:firstLineChars="200"/>
        <w:jc w:val="left"/>
        <w:rPr>
          <w:rFonts w:hint="eastAsia" w:ascii="宋体" w:hAnsi="宋体" w:cs="宋体"/>
          <w:sz w:val="24"/>
          <w:szCs w:val="28"/>
          <w:lang w:val="en-US" w:eastAsia="zh-CN"/>
        </w:rPr>
      </w:pPr>
      <w:r>
        <w:rPr>
          <w:rFonts w:hint="eastAsia" w:ascii="宋体" w:hAnsi="宋体" w:cs="宋体"/>
          <w:sz w:val="24"/>
          <w:szCs w:val="28"/>
          <w:lang w:val="en-US" w:eastAsia="zh-CN"/>
        </w:rPr>
        <w:t>1.5.2需具有KLOTZ公司授权的维修资质或Abakuz便携式颗粒度仪的维修业绩。</w:t>
      </w:r>
    </w:p>
    <w:p>
      <w:pPr>
        <w:keepNext w:val="0"/>
        <w:keepLines w:val="0"/>
        <w:pageBreakBefore w:val="0"/>
        <w:widowControl w:val="0"/>
        <w:tabs>
          <w:tab w:val="left" w:pos="567"/>
        </w:tabs>
        <w:kinsoku/>
        <w:wordWrap/>
        <w:overflowPunct/>
        <w:topLinePunct w:val="0"/>
        <w:autoSpaceDE/>
        <w:autoSpaceDN/>
        <w:bidi w:val="0"/>
        <w:adjustRightInd/>
        <w:snapToGrid/>
        <w:ind w:firstLine="480" w:firstLineChars="200"/>
        <w:textAlignment w:val="auto"/>
        <w:rPr>
          <w:rFonts w:hint="eastAsia"/>
          <w:lang w:val="en-US" w:eastAsia="zh-CN"/>
        </w:rPr>
      </w:pPr>
      <w:r>
        <w:rPr>
          <w:rFonts w:hint="eastAsia" w:ascii="宋体" w:hAnsi="宋体" w:cs="宋体"/>
          <w:sz w:val="24"/>
          <w:szCs w:val="28"/>
          <w:lang w:val="en-US" w:eastAsia="zh-CN"/>
        </w:rPr>
        <w:t>1.5.3本项目是否接受联合体投标：否。</w:t>
      </w:r>
      <w:bookmarkStart w:id="9" w:name="_GoBack"/>
      <w:bookmarkEnd w:id="9"/>
    </w:p>
    <w:p>
      <w:pPr>
        <w:pStyle w:val="3"/>
        <w:widowControl/>
        <w:spacing w:before="0" w:after="0" w:line="360" w:lineRule="auto"/>
        <w:rPr>
          <w:rFonts w:ascii="宋体" w:hAnsi="宋体" w:cs="宋体"/>
          <w:sz w:val="24"/>
          <w:szCs w:val="24"/>
        </w:rPr>
      </w:pPr>
      <w:bookmarkStart w:id="5" w:name="_Toc307386274"/>
      <w:bookmarkStart w:id="6" w:name="_Toc426633966"/>
      <w:r>
        <w:rPr>
          <w:rFonts w:hint="eastAsia" w:ascii="宋体" w:hAnsi="宋体" w:cs="宋体"/>
          <w:sz w:val="24"/>
          <w:szCs w:val="24"/>
        </w:rPr>
        <w:t xml:space="preserve">2. </w:t>
      </w:r>
      <w:r>
        <w:rPr>
          <w:rFonts w:hint="eastAsia" w:ascii="宋体" w:hAnsi="宋体" w:cs="宋体"/>
          <w:sz w:val="24"/>
          <w:szCs w:val="24"/>
          <w:lang w:val="en-US" w:eastAsia="zh-CN"/>
        </w:rPr>
        <w:t>项目</w:t>
      </w:r>
      <w:r>
        <w:rPr>
          <w:rFonts w:hint="eastAsia" w:ascii="宋体" w:hAnsi="宋体" w:cs="宋体"/>
          <w:sz w:val="24"/>
          <w:szCs w:val="24"/>
        </w:rPr>
        <w:t>概况</w:t>
      </w:r>
      <w:bookmarkEnd w:id="5"/>
      <w:bookmarkEnd w:id="6"/>
    </w:p>
    <w:p>
      <w:pPr>
        <w:keepNext w:val="0"/>
        <w:keepLines w:val="0"/>
        <w:pageBreakBefore w:val="0"/>
        <w:widowControl w:val="0"/>
        <w:tabs>
          <w:tab w:val="left" w:pos="567"/>
        </w:tabs>
        <w:kinsoku/>
        <w:wordWrap/>
        <w:overflowPunct/>
        <w:topLinePunct w:val="0"/>
        <w:autoSpaceDE/>
        <w:autoSpaceDN/>
        <w:bidi w:val="0"/>
        <w:adjustRightInd/>
        <w:snapToGrid/>
        <w:ind w:firstLine="480" w:firstLineChars="200"/>
        <w:textAlignment w:val="auto"/>
        <w:rPr>
          <w:rFonts w:hint="eastAsia" w:ascii="宋体" w:hAnsi="宋体" w:eastAsia="宋体" w:cs="宋体"/>
          <w:kern w:val="0"/>
          <w:sz w:val="24"/>
          <w:szCs w:val="28"/>
          <w:lang w:eastAsia="zh-CN"/>
        </w:rPr>
      </w:pPr>
      <w:r>
        <w:rPr>
          <w:rFonts w:hint="eastAsia" w:ascii="宋体" w:hAnsi="宋体" w:eastAsia="宋体" w:cs="宋体"/>
          <w:sz w:val="24"/>
          <w:szCs w:val="24"/>
          <w:highlight w:val="none"/>
          <w:lang w:val="en-US" w:eastAsia="zh-CN"/>
        </w:rPr>
        <w:t>中煤华晋集团有限公司晋城热电分公司位于山西省晋城市泽州县金村镇上辛安村。本次为化验室</w:t>
      </w:r>
      <w:r>
        <w:rPr>
          <w:rFonts w:hint="eastAsia" w:ascii="宋体" w:hAnsi="宋体" w:eastAsia="宋体" w:cs="宋体"/>
          <w:kern w:val="0"/>
          <w:sz w:val="24"/>
          <w:szCs w:val="28"/>
          <w:lang w:val="en-US" w:eastAsia="zh-CN"/>
        </w:rPr>
        <w:t>Abakuz便携式颗粒度仪维修项目</w:t>
      </w:r>
      <w:r>
        <w:rPr>
          <w:rFonts w:hint="eastAsia" w:ascii="宋体" w:hAnsi="宋体" w:eastAsia="宋体" w:cs="宋体"/>
          <w:sz w:val="24"/>
          <w:szCs w:val="24"/>
          <w:highlight w:val="none"/>
          <w:lang w:val="en-US" w:eastAsia="zh-CN"/>
        </w:rPr>
        <w:t>。</w:t>
      </w:r>
    </w:p>
    <w:p>
      <w:pPr>
        <w:pStyle w:val="3"/>
        <w:widowControl/>
        <w:numPr>
          <w:ilvl w:val="0"/>
          <w:numId w:val="1"/>
        </w:numPr>
        <w:spacing w:before="0" w:after="0" w:line="360" w:lineRule="auto"/>
        <w:rPr>
          <w:rFonts w:hint="default" w:ascii="宋体" w:hAnsi="宋体" w:cs="宋体"/>
          <w:color w:val="000000"/>
          <w:sz w:val="24"/>
          <w:lang w:val="en-US" w:eastAsia="zh-CN"/>
        </w:rPr>
      </w:pPr>
      <w:r>
        <w:rPr>
          <w:rFonts w:hint="eastAsia" w:ascii="宋体" w:hAnsi="宋体" w:cs="宋体"/>
          <w:color w:val="000000"/>
          <w:kern w:val="0"/>
          <w:sz w:val="24"/>
          <w:szCs w:val="28"/>
          <w:lang w:val="en-US" w:eastAsia="zh-CN"/>
        </w:rPr>
        <w:t xml:space="preserve"> </w:t>
      </w:r>
      <w:r>
        <w:rPr>
          <w:rFonts w:hint="default" w:ascii="宋体" w:hAnsi="宋体" w:cs="宋体"/>
          <w:color w:val="000000"/>
          <w:sz w:val="24"/>
          <w:lang w:val="en-US" w:eastAsia="zh-CN"/>
        </w:rPr>
        <w:t>工作内容</w:t>
      </w:r>
    </w:p>
    <w:p>
      <w:pPr>
        <w:keepNext w:val="0"/>
        <w:keepLines w:val="0"/>
        <w:pageBreakBefore w:val="0"/>
        <w:widowControl w:val="0"/>
        <w:tabs>
          <w:tab w:val="left" w:pos="567"/>
        </w:tabs>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化验室便携式颗粒度仪（型号为Abakuz型）开机后显示传感器错误，无法进行油质颗粒度检测，报价单位需对其进行维修、校准，保证仪器恢复正常使用。</w:t>
      </w:r>
    </w:p>
    <w:p>
      <w:pPr>
        <w:pStyle w:val="3"/>
        <w:widowControl/>
        <w:spacing w:before="0" w:after="0" w:line="360" w:lineRule="auto"/>
        <w:rPr>
          <w:rFonts w:ascii="宋体" w:hAnsi="宋体" w:cs="宋体"/>
          <w:color w:val="000000"/>
          <w:sz w:val="24"/>
        </w:rPr>
      </w:pPr>
      <w:r>
        <w:rPr>
          <w:rFonts w:hint="eastAsia" w:ascii="宋体" w:hAnsi="宋体" w:cs="宋体"/>
          <w:color w:val="000000"/>
          <w:sz w:val="24"/>
        </w:rPr>
        <w:t>4. 规范和标准</w:t>
      </w:r>
    </w:p>
    <w:p>
      <w:pPr>
        <w:widowControl/>
        <w:spacing w:line="360" w:lineRule="auto"/>
        <w:ind w:firstLine="480" w:firstLineChars="200"/>
        <w:jc w:val="left"/>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本次</w:t>
      </w:r>
      <w:r>
        <w:rPr>
          <w:rFonts w:hint="eastAsia" w:ascii="宋体" w:hAnsi="宋体" w:eastAsia="宋体" w:cs="宋体"/>
          <w:kern w:val="0"/>
          <w:sz w:val="24"/>
          <w:szCs w:val="28"/>
          <w:lang w:val="en-US" w:eastAsia="zh-CN"/>
        </w:rPr>
        <w:t>Abakuz便携式颗粒度仪维修</w:t>
      </w:r>
      <w:r>
        <w:rPr>
          <w:rFonts w:hint="eastAsia" w:ascii="宋体" w:hAnsi="宋体" w:cs="宋体"/>
          <w:kern w:val="0"/>
          <w:sz w:val="24"/>
          <w:szCs w:val="28"/>
          <w:lang w:eastAsia="zh-CN"/>
        </w:rPr>
        <w:t>项目</w:t>
      </w:r>
      <w:r>
        <w:rPr>
          <w:rFonts w:hint="eastAsia" w:ascii="宋体" w:hAnsi="宋体" w:eastAsia="宋体" w:cs="宋体"/>
          <w:color w:val="000000"/>
          <w:kern w:val="0"/>
          <w:sz w:val="24"/>
          <w:szCs w:val="28"/>
        </w:rPr>
        <w:t>标准应符合现行的有关国家标准、电力行业标准以及部颁标准</w:t>
      </w:r>
      <w:r>
        <w:rPr>
          <w:rFonts w:hint="eastAsia" w:ascii="宋体" w:hAnsi="宋体" w:eastAsia="宋体" w:cs="宋体"/>
          <w:color w:val="000000"/>
          <w:kern w:val="0"/>
          <w:sz w:val="24"/>
          <w:szCs w:val="28"/>
          <w:lang w:val="en-US" w:eastAsia="zh-CN"/>
        </w:rPr>
        <w:t>等</w:t>
      </w:r>
      <w:r>
        <w:rPr>
          <w:rFonts w:hint="eastAsia" w:ascii="宋体" w:hAnsi="宋体" w:eastAsia="宋体" w:cs="宋体"/>
          <w:color w:val="000000"/>
          <w:kern w:val="0"/>
          <w:sz w:val="24"/>
          <w:szCs w:val="28"/>
          <w:lang w:eastAsia="zh-CN"/>
        </w:rPr>
        <w:t>，</w:t>
      </w:r>
      <w:r>
        <w:rPr>
          <w:rFonts w:hint="eastAsia" w:ascii="宋体" w:hAnsi="宋体" w:eastAsia="宋体" w:cs="宋体"/>
          <w:color w:val="000000"/>
          <w:kern w:val="0"/>
          <w:sz w:val="24"/>
          <w:szCs w:val="28"/>
        </w:rPr>
        <w:t>这些标准和规范（不限于）至少包括：</w:t>
      </w:r>
    </w:p>
    <w:p>
      <w:pPr>
        <w:widowControl/>
        <w:spacing w:line="360" w:lineRule="auto"/>
        <w:ind w:firstLine="480" w:firstLineChars="200"/>
        <w:jc w:val="left"/>
        <w:rPr>
          <w:rFonts w:hint="eastAsia" w:ascii="宋体" w:hAnsi="宋体" w:eastAsia="宋体" w:cs="宋体"/>
          <w:kern w:val="0"/>
          <w:sz w:val="24"/>
          <w:szCs w:val="28"/>
          <w:lang w:val="en-US" w:eastAsia="zh-CN"/>
        </w:rPr>
      </w:pPr>
      <w:r>
        <w:rPr>
          <w:rFonts w:hint="eastAsia" w:ascii="宋体" w:hAnsi="宋体" w:eastAsia="宋体" w:cs="宋体"/>
          <w:kern w:val="0"/>
          <w:sz w:val="24"/>
          <w:szCs w:val="28"/>
          <w:lang w:val="en-US" w:eastAsia="zh-CN"/>
        </w:rPr>
        <w:t>DL/T432-2018《电力用油中颗粒度测定方法》</w:t>
      </w:r>
    </w:p>
    <w:p>
      <w:pPr>
        <w:pStyle w:val="3"/>
        <w:widowControl/>
        <w:numPr>
          <w:ilvl w:val="0"/>
          <w:numId w:val="0"/>
        </w:numPr>
        <w:spacing w:before="0" w:after="0" w:line="360" w:lineRule="auto"/>
        <w:ind w:leftChars="0"/>
        <w:rPr>
          <w:rFonts w:hint="eastAsia" w:ascii="宋体" w:hAnsi="宋体" w:cs="宋体"/>
          <w:sz w:val="24"/>
        </w:rPr>
      </w:pPr>
      <w:bookmarkStart w:id="7" w:name="_Toc426633969"/>
      <w:r>
        <w:rPr>
          <w:rFonts w:hint="eastAsia" w:ascii="宋体" w:hAnsi="宋体" w:cs="宋体"/>
          <w:kern w:val="0"/>
          <w:sz w:val="24"/>
          <w:szCs w:val="28"/>
          <w:lang w:val="en-US" w:eastAsia="zh-CN"/>
        </w:rPr>
        <w:t>5、</w:t>
      </w:r>
      <w:r>
        <w:rPr>
          <w:rFonts w:hint="eastAsia" w:ascii="宋体" w:hAnsi="宋体" w:cs="宋体"/>
          <w:color w:val="000000"/>
          <w:kern w:val="0"/>
          <w:sz w:val="24"/>
          <w:szCs w:val="28"/>
          <w:lang w:val="en-US" w:eastAsia="zh-CN"/>
        </w:rPr>
        <w:t xml:space="preserve"> </w:t>
      </w:r>
      <w:r>
        <w:rPr>
          <w:rFonts w:hint="eastAsia" w:ascii="宋体" w:hAnsi="宋体" w:cs="宋体"/>
          <w:color w:val="000000"/>
          <w:sz w:val="24"/>
          <w:lang w:val="en-US" w:eastAsia="zh-CN"/>
        </w:rPr>
        <w:t>项目</w:t>
      </w:r>
      <w:r>
        <w:rPr>
          <w:rFonts w:hint="eastAsia" w:ascii="宋体" w:hAnsi="宋体" w:cs="宋体"/>
          <w:sz w:val="24"/>
        </w:rPr>
        <w:t>技术要求及质量标准（包含但不限于此）</w:t>
      </w:r>
      <w:bookmarkEnd w:id="7"/>
    </w:p>
    <w:p>
      <w:pPr>
        <w:keepNext w:val="0"/>
        <w:keepLines w:val="0"/>
        <w:pageBreakBefore w:val="0"/>
        <w:widowControl w:val="0"/>
        <w:tabs>
          <w:tab w:val="left" w:pos="567"/>
        </w:tabs>
        <w:kinsoku/>
        <w:wordWrap/>
        <w:overflowPunct/>
        <w:topLinePunct w:val="0"/>
        <w:autoSpaceDE/>
        <w:autoSpaceDN/>
        <w:bidi w:val="0"/>
        <w:adjustRightInd/>
        <w:snapToGrid/>
        <w:ind w:firstLine="480" w:firstLineChars="200"/>
        <w:textAlignment w:val="auto"/>
        <w:rPr>
          <w:rFonts w:hint="default" w:ascii="方正仿宋简体" w:hAnsi="方正仿宋简体" w:eastAsia="方正仿宋简体" w:cs="方正仿宋简体"/>
          <w:color w:val="000000" w:themeColor="text1"/>
          <w:sz w:val="28"/>
          <w:szCs w:val="28"/>
          <w:shd w:val="clear" w:fill="FF0000"/>
          <w:lang w:val="en-US" w:eastAsia="zh-CN"/>
          <w14:textFill>
            <w14:solidFill>
              <w14:schemeClr w14:val="tx1"/>
            </w14:solidFill>
          </w14:textFill>
        </w:rPr>
      </w:pPr>
      <w:r>
        <w:rPr>
          <w:rFonts w:hint="eastAsia" w:ascii="宋体" w:hAnsi="宋体" w:eastAsia="宋体" w:cs="宋体"/>
          <w:color w:val="000000"/>
          <w:kern w:val="0"/>
          <w:sz w:val="24"/>
          <w:szCs w:val="28"/>
          <w:lang w:val="en-US" w:eastAsia="zh-CN"/>
        </w:rPr>
        <w:t>在接到中标通知后，报价单位应于15日内完成该仪器的维修、校准工作，使仪器可以正常使用，同时保证6个月内不发生类似故障，否则在此期间报价单位免费维修。</w:t>
      </w:r>
    </w:p>
    <w:p>
      <w:pPr>
        <w:pStyle w:val="3"/>
        <w:widowControl/>
        <w:spacing w:before="0" w:after="0" w:line="360" w:lineRule="auto"/>
        <w:rPr>
          <w:rFonts w:ascii="宋体" w:hAnsi="宋体" w:cs="宋体"/>
          <w:color w:val="000000"/>
          <w:kern w:val="0"/>
          <w:sz w:val="24"/>
        </w:rPr>
      </w:pPr>
      <w:r>
        <w:rPr>
          <w:rFonts w:hint="eastAsia" w:ascii="宋体" w:hAnsi="宋体" w:cs="宋体"/>
          <w:color w:val="000000"/>
          <w:kern w:val="0"/>
          <w:sz w:val="24"/>
          <w:lang w:val="en-US" w:eastAsia="zh-CN"/>
        </w:rPr>
        <w:t>6</w:t>
      </w:r>
      <w:r>
        <w:rPr>
          <w:rFonts w:hint="eastAsia" w:ascii="宋体" w:hAnsi="宋体" w:cs="宋体"/>
          <w:color w:val="000000"/>
          <w:kern w:val="0"/>
          <w:sz w:val="24"/>
        </w:rPr>
        <w:t>. 质量验收</w:t>
      </w:r>
    </w:p>
    <w:p>
      <w:pPr>
        <w:keepNext w:val="0"/>
        <w:keepLines w:val="0"/>
        <w:pageBreakBefore w:val="0"/>
        <w:widowControl w:val="0"/>
        <w:tabs>
          <w:tab w:val="left" w:pos="567"/>
        </w:tabs>
        <w:kinsoku/>
        <w:wordWrap/>
        <w:overflowPunct/>
        <w:topLinePunct w:val="0"/>
        <w:autoSpaceDE/>
        <w:autoSpaceDN/>
        <w:bidi w:val="0"/>
        <w:adjustRightInd/>
        <w:snapToGrid/>
        <w:ind w:firstLine="480" w:firstLineChars="200"/>
        <w:textAlignment w:val="auto"/>
        <w:rPr>
          <w:rFonts w:hint="eastAsia" w:ascii="宋体" w:hAnsi="宋体" w:eastAsia="宋体" w:cs="宋体"/>
          <w:color w:val="000000"/>
          <w:kern w:val="0"/>
          <w:sz w:val="24"/>
          <w:szCs w:val="28"/>
          <w:lang w:val="en-US" w:eastAsia="zh-CN"/>
        </w:rPr>
      </w:pPr>
      <w:r>
        <w:rPr>
          <w:rFonts w:hint="eastAsia" w:ascii="宋体" w:hAnsi="宋体" w:eastAsia="宋体" w:cs="宋体"/>
          <w:color w:val="000000"/>
          <w:kern w:val="0"/>
          <w:sz w:val="24"/>
          <w:szCs w:val="28"/>
          <w:lang w:val="en-US" w:eastAsia="zh-CN"/>
        </w:rPr>
        <w:t>询价单位收到维修后的颗粒度仪及校准报告后，对仪器及校准报告进行检查核对，验收不合格项目，报价单位应无条件立即返工，因此发生的费用由报价单位承担。</w:t>
      </w:r>
    </w:p>
    <w:p>
      <w:pPr>
        <w:pStyle w:val="3"/>
        <w:widowControl/>
        <w:spacing w:before="0" w:after="0" w:line="360" w:lineRule="auto"/>
        <w:rPr>
          <w:rFonts w:ascii="宋体" w:hAnsi="宋体" w:cs="宋体"/>
          <w:color w:val="000000"/>
          <w:kern w:val="0"/>
          <w:sz w:val="24"/>
        </w:rPr>
      </w:pPr>
      <w:bookmarkStart w:id="8" w:name="_Toc426633972"/>
      <w:r>
        <w:rPr>
          <w:rFonts w:hint="eastAsia" w:ascii="宋体" w:hAnsi="宋体" w:cs="宋体"/>
          <w:color w:val="000000"/>
          <w:kern w:val="0"/>
          <w:sz w:val="24"/>
          <w:lang w:val="en-US" w:eastAsia="zh-CN"/>
        </w:rPr>
        <w:t>7</w:t>
      </w:r>
      <w:r>
        <w:rPr>
          <w:rFonts w:hint="eastAsia" w:ascii="宋体" w:hAnsi="宋体" w:cs="宋体"/>
          <w:color w:val="000000"/>
          <w:kern w:val="0"/>
          <w:sz w:val="24"/>
        </w:rPr>
        <w:t>. 工期及违约责任</w:t>
      </w:r>
      <w:bookmarkEnd w:id="8"/>
    </w:p>
    <w:p>
      <w:pPr>
        <w:widowControl/>
        <w:spacing w:line="360" w:lineRule="auto"/>
        <w:ind w:firstLine="472" w:firstLineChars="197"/>
        <w:jc w:val="left"/>
        <w:rPr>
          <w:rFonts w:ascii="宋体" w:hAnsi="宋体" w:eastAsia="宋体" w:cs="宋体"/>
          <w:sz w:val="24"/>
          <w:szCs w:val="28"/>
        </w:rPr>
      </w:pPr>
      <w:r>
        <w:rPr>
          <w:rFonts w:hint="eastAsia" w:ascii="宋体" w:hAnsi="宋体" w:cs="宋体"/>
          <w:kern w:val="0"/>
          <w:sz w:val="24"/>
          <w:szCs w:val="28"/>
          <w:lang w:val="en-US" w:eastAsia="zh-CN"/>
        </w:rPr>
        <w:t>7</w:t>
      </w:r>
      <w:r>
        <w:rPr>
          <w:rFonts w:hint="eastAsia" w:ascii="宋体" w:hAnsi="宋体" w:eastAsia="宋体" w:cs="宋体"/>
          <w:kern w:val="0"/>
          <w:sz w:val="24"/>
          <w:szCs w:val="28"/>
        </w:rPr>
        <w:t>.1</w:t>
      </w:r>
      <w:r>
        <w:rPr>
          <w:rFonts w:hint="eastAsia" w:ascii="宋体" w:hAnsi="宋体" w:eastAsia="宋体" w:cs="宋体"/>
          <w:kern w:val="0"/>
          <w:sz w:val="24"/>
          <w:szCs w:val="28"/>
          <w:lang w:val="en-US" w:eastAsia="zh-CN"/>
        </w:rPr>
        <w:t>维修工期不高于15天。</w:t>
      </w:r>
    </w:p>
    <w:p>
      <w:pPr>
        <w:widowControl/>
        <w:spacing w:line="360" w:lineRule="auto"/>
        <w:ind w:firstLine="472" w:firstLineChars="197"/>
        <w:jc w:val="left"/>
        <w:rPr>
          <w:rFonts w:ascii="宋体" w:hAnsi="宋体" w:eastAsia="宋体" w:cs="宋体"/>
          <w:sz w:val="24"/>
          <w:szCs w:val="28"/>
        </w:rPr>
      </w:pPr>
      <w:r>
        <w:rPr>
          <w:rFonts w:hint="eastAsia" w:ascii="宋体" w:hAnsi="宋体" w:cs="宋体"/>
          <w:kern w:val="0"/>
          <w:sz w:val="24"/>
          <w:szCs w:val="28"/>
          <w:lang w:val="en-US" w:eastAsia="zh-CN"/>
        </w:rPr>
        <w:t>7</w:t>
      </w:r>
      <w:r>
        <w:rPr>
          <w:rFonts w:hint="eastAsia" w:ascii="宋体" w:hAnsi="宋体" w:eastAsia="宋体" w:cs="宋体"/>
          <w:kern w:val="0"/>
          <w:sz w:val="24"/>
          <w:szCs w:val="28"/>
        </w:rPr>
        <w:t>.2由于</w:t>
      </w:r>
      <w:r>
        <w:rPr>
          <w:rFonts w:hint="eastAsia" w:ascii="宋体" w:hAnsi="宋体" w:eastAsia="宋体" w:cs="宋体"/>
          <w:kern w:val="0"/>
          <w:sz w:val="24"/>
          <w:szCs w:val="28"/>
          <w:lang w:val="en-US" w:eastAsia="zh-CN"/>
        </w:rPr>
        <w:t>报价单位</w:t>
      </w:r>
      <w:r>
        <w:rPr>
          <w:rFonts w:hint="eastAsia" w:ascii="宋体" w:hAnsi="宋体" w:eastAsia="宋体" w:cs="宋体"/>
          <w:kern w:val="0"/>
          <w:sz w:val="24"/>
          <w:szCs w:val="28"/>
        </w:rPr>
        <w:t>自身的原因未能按规定的时间完成</w:t>
      </w:r>
      <w:r>
        <w:rPr>
          <w:rFonts w:hint="eastAsia" w:ascii="宋体" w:hAnsi="宋体" w:cs="宋体"/>
          <w:kern w:val="0"/>
          <w:sz w:val="24"/>
          <w:szCs w:val="28"/>
          <w:lang w:val="en-US" w:eastAsia="zh-CN"/>
        </w:rPr>
        <w:t>仪器维修</w:t>
      </w:r>
      <w:r>
        <w:rPr>
          <w:rFonts w:hint="eastAsia" w:ascii="宋体" w:hAnsi="宋体" w:eastAsia="宋体" w:cs="宋体"/>
          <w:kern w:val="0"/>
          <w:sz w:val="24"/>
          <w:szCs w:val="28"/>
        </w:rPr>
        <w:t>，给</w:t>
      </w:r>
      <w:r>
        <w:rPr>
          <w:rFonts w:hint="eastAsia" w:ascii="宋体" w:hAnsi="宋体" w:cs="宋体"/>
          <w:kern w:val="0"/>
          <w:sz w:val="24"/>
          <w:szCs w:val="28"/>
          <w:lang w:val="en-US" w:eastAsia="zh-CN"/>
        </w:rPr>
        <w:t>询价单位</w:t>
      </w:r>
      <w:r>
        <w:rPr>
          <w:rFonts w:hint="eastAsia" w:ascii="宋体" w:hAnsi="宋体" w:eastAsia="宋体" w:cs="宋体"/>
          <w:kern w:val="0"/>
          <w:sz w:val="24"/>
          <w:szCs w:val="28"/>
        </w:rPr>
        <w:t>造成损失，每延期1天，</w:t>
      </w:r>
      <w:r>
        <w:rPr>
          <w:rFonts w:hint="eastAsia" w:ascii="宋体" w:hAnsi="宋体" w:eastAsia="宋体" w:cs="宋体"/>
          <w:kern w:val="0"/>
          <w:sz w:val="24"/>
          <w:szCs w:val="28"/>
          <w:lang w:val="en-US" w:eastAsia="zh-CN"/>
        </w:rPr>
        <w:t>报价单位</w:t>
      </w:r>
      <w:r>
        <w:rPr>
          <w:rFonts w:hint="eastAsia" w:ascii="宋体" w:hAnsi="宋体" w:eastAsia="宋体" w:cs="宋体"/>
          <w:kern w:val="0"/>
          <w:sz w:val="24"/>
          <w:szCs w:val="28"/>
        </w:rPr>
        <w:t>应按合同总额的</w:t>
      </w:r>
      <w:r>
        <w:rPr>
          <w:rFonts w:hint="eastAsia" w:ascii="宋体" w:hAnsi="宋体" w:cs="宋体"/>
          <w:kern w:val="0"/>
          <w:sz w:val="24"/>
          <w:szCs w:val="28"/>
          <w:lang w:val="en-US" w:eastAsia="zh-CN"/>
        </w:rPr>
        <w:t>1</w:t>
      </w:r>
      <w:r>
        <w:rPr>
          <w:rFonts w:hint="eastAsia" w:ascii="宋体" w:hAnsi="宋体" w:eastAsia="宋体" w:cs="宋体"/>
          <w:kern w:val="0"/>
          <w:sz w:val="24"/>
          <w:szCs w:val="28"/>
        </w:rPr>
        <w:t>%支付违约金，并赔偿由此给</w:t>
      </w:r>
      <w:r>
        <w:rPr>
          <w:rFonts w:hint="eastAsia" w:ascii="宋体" w:hAnsi="宋体" w:cs="宋体"/>
          <w:kern w:val="0"/>
          <w:sz w:val="24"/>
          <w:szCs w:val="28"/>
          <w:lang w:val="en-US" w:eastAsia="zh-CN"/>
        </w:rPr>
        <w:t>询价单位</w:t>
      </w:r>
      <w:r>
        <w:rPr>
          <w:rFonts w:hint="eastAsia" w:ascii="宋体" w:hAnsi="宋体" w:eastAsia="宋体" w:cs="宋体"/>
          <w:kern w:val="0"/>
          <w:sz w:val="24"/>
          <w:szCs w:val="28"/>
        </w:rPr>
        <w:t>造成的一切损失。</w:t>
      </w:r>
    </w:p>
    <w:p>
      <w:pPr>
        <w:widowControl/>
        <w:spacing w:line="360" w:lineRule="auto"/>
        <w:ind w:firstLine="472" w:firstLineChars="197"/>
        <w:jc w:val="left"/>
        <w:rPr>
          <w:rFonts w:ascii="宋体" w:hAnsi="宋体" w:eastAsia="宋体" w:cs="宋体"/>
          <w:sz w:val="24"/>
          <w:szCs w:val="28"/>
        </w:rPr>
      </w:pPr>
      <w:r>
        <w:rPr>
          <w:rFonts w:hint="eastAsia" w:ascii="宋体" w:hAnsi="宋体" w:cs="宋体"/>
          <w:kern w:val="0"/>
          <w:sz w:val="24"/>
          <w:szCs w:val="28"/>
          <w:lang w:val="en-US" w:eastAsia="zh-CN"/>
        </w:rPr>
        <w:t>7</w:t>
      </w:r>
      <w:r>
        <w:rPr>
          <w:rFonts w:hint="eastAsia" w:ascii="宋体" w:hAnsi="宋体" w:eastAsia="宋体" w:cs="宋体"/>
          <w:kern w:val="0"/>
          <w:sz w:val="24"/>
          <w:szCs w:val="28"/>
        </w:rPr>
        <w:t>.3由于</w:t>
      </w:r>
      <w:r>
        <w:rPr>
          <w:rFonts w:hint="eastAsia" w:ascii="宋体" w:hAnsi="宋体" w:eastAsia="宋体" w:cs="宋体"/>
          <w:kern w:val="0"/>
          <w:sz w:val="24"/>
          <w:szCs w:val="28"/>
          <w:lang w:val="en-US" w:eastAsia="zh-CN"/>
        </w:rPr>
        <w:t>报价单位</w:t>
      </w:r>
      <w:r>
        <w:rPr>
          <w:rFonts w:hint="eastAsia" w:ascii="宋体" w:hAnsi="宋体" w:eastAsia="宋体" w:cs="宋体"/>
          <w:kern w:val="0"/>
          <w:sz w:val="24"/>
          <w:szCs w:val="28"/>
        </w:rPr>
        <w:t>自身的原因未达到本合同约定的标准，</w:t>
      </w:r>
      <w:r>
        <w:rPr>
          <w:rFonts w:hint="eastAsia" w:ascii="宋体" w:hAnsi="宋体" w:eastAsia="宋体" w:cs="宋体"/>
          <w:kern w:val="0"/>
          <w:sz w:val="24"/>
          <w:szCs w:val="28"/>
          <w:lang w:val="en-US" w:eastAsia="zh-CN"/>
        </w:rPr>
        <w:t>报价单位</w:t>
      </w:r>
      <w:r>
        <w:rPr>
          <w:rFonts w:hint="eastAsia" w:ascii="宋体" w:hAnsi="宋体" w:eastAsia="宋体" w:cs="宋体"/>
          <w:kern w:val="0"/>
          <w:sz w:val="24"/>
          <w:szCs w:val="28"/>
        </w:rPr>
        <w:t>应按合同总额的</w:t>
      </w:r>
      <w:r>
        <w:rPr>
          <w:rFonts w:hint="eastAsia" w:ascii="宋体" w:hAnsi="宋体" w:cs="宋体"/>
          <w:kern w:val="0"/>
          <w:sz w:val="24"/>
          <w:szCs w:val="28"/>
          <w:lang w:val="en-US" w:eastAsia="zh-CN"/>
        </w:rPr>
        <w:t>1</w:t>
      </w:r>
      <w:r>
        <w:rPr>
          <w:rFonts w:hint="eastAsia" w:ascii="宋体" w:hAnsi="宋体" w:eastAsia="宋体" w:cs="宋体"/>
          <w:kern w:val="0"/>
          <w:sz w:val="24"/>
          <w:szCs w:val="28"/>
        </w:rPr>
        <w:t>%支付违约金，并赔偿由此给</w:t>
      </w:r>
      <w:r>
        <w:rPr>
          <w:rFonts w:hint="eastAsia" w:ascii="宋体" w:hAnsi="宋体" w:cs="宋体"/>
          <w:kern w:val="0"/>
          <w:sz w:val="24"/>
          <w:szCs w:val="28"/>
          <w:lang w:val="en-US" w:eastAsia="zh-CN"/>
        </w:rPr>
        <w:t>询价单位</w:t>
      </w:r>
      <w:r>
        <w:rPr>
          <w:rFonts w:hint="eastAsia" w:ascii="宋体" w:hAnsi="宋体" w:eastAsia="宋体" w:cs="宋体"/>
          <w:kern w:val="0"/>
          <w:sz w:val="24"/>
          <w:szCs w:val="28"/>
        </w:rPr>
        <w:t>造成的一切损失。</w:t>
      </w:r>
    </w:p>
    <w:p>
      <w:pPr>
        <w:widowControl/>
        <w:spacing w:line="360" w:lineRule="auto"/>
        <w:ind w:firstLine="472" w:firstLineChars="197"/>
        <w:jc w:val="left"/>
        <w:rPr>
          <w:rFonts w:hint="eastAsia" w:ascii="宋体" w:hAnsi="宋体" w:eastAsia="宋体" w:cs="宋体"/>
          <w:kern w:val="0"/>
          <w:sz w:val="24"/>
          <w:szCs w:val="28"/>
        </w:rPr>
      </w:pPr>
      <w:r>
        <w:rPr>
          <w:rFonts w:hint="eastAsia" w:ascii="宋体" w:hAnsi="宋体" w:cs="宋体"/>
          <w:kern w:val="0"/>
          <w:sz w:val="24"/>
          <w:szCs w:val="28"/>
          <w:lang w:val="en-US" w:eastAsia="zh-CN"/>
        </w:rPr>
        <w:t>7</w:t>
      </w:r>
      <w:r>
        <w:rPr>
          <w:rFonts w:hint="eastAsia" w:ascii="宋体" w:hAnsi="宋体" w:eastAsia="宋体" w:cs="宋体"/>
          <w:kern w:val="0"/>
          <w:sz w:val="24"/>
          <w:szCs w:val="28"/>
        </w:rPr>
        <w:t>.4由</w:t>
      </w:r>
      <w:r>
        <w:rPr>
          <w:rFonts w:hint="eastAsia" w:ascii="宋体" w:hAnsi="宋体" w:eastAsia="宋体" w:cs="宋体"/>
          <w:kern w:val="0"/>
          <w:sz w:val="24"/>
          <w:szCs w:val="28"/>
          <w:lang w:val="en-US" w:eastAsia="zh-CN"/>
        </w:rPr>
        <w:t>报价单位</w:t>
      </w:r>
      <w:r>
        <w:rPr>
          <w:rFonts w:hint="eastAsia" w:ascii="宋体" w:hAnsi="宋体" w:eastAsia="宋体" w:cs="宋体"/>
          <w:kern w:val="0"/>
          <w:sz w:val="24"/>
          <w:szCs w:val="28"/>
        </w:rPr>
        <w:t>责任造成的设备损坏，由</w:t>
      </w:r>
      <w:r>
        <w:rPr>
          <w:rFonts w:hint="eastAsia" w:ascii="宋体" w:hAnsi="宋体" w:eastAsia="宋体" w:cs="宋体"/>
          <w:kern w:val="0"/>
          <w:sz w:val="24"/>
          <w:szCs w:val="28"/>
          <w:lang w:val="en-US" w:eastAsia="zh-CN"/>
        </w:rPr>
        <w:t>报价单位</w:t>
      </w:r>
      <w:r>
        <w:rPr>
          <w:rFonts w:hint="eastAsia" w:ascii="宋体" w:hAnsi="宋体" w:eastAsia="宋体" w:cs="宋体"/>
          <w:kern w:val="0"/>
          <w:sz w:val="24"/>
          <w:szCs w:val="28"/>
        </w:rPr>
        <w:t>负责赔偿由此给</w:t>
      </w:r>
      <w:r>
        <w:rPr>
          <w:rFonts w:hint="eastAsia" w:ascii="宋体" w:hAnsi="宋体" w:cs="宋体"/>
          <w:kern w:val="0"/>
          <w:sz w:val="24"/>
          <w:szCs w:val="28"/>
          <w:lang w:val="en-US" w:eastAsia="zh-CN"/>
        </w:rPr>
        <w:t>询价单位</w:t>
      </w:r>
      <w:r>
        <w:rPr>
          <w:rFonts w:hint="eastAsia" w:ascii="宋体" w:hAnsi="宋体" w:eastAsia="宋体" w:cs="宋体"/>
          <w:kern w:val="0"/>
          <w:sz w:val="24"/>
          <w:szCs w:val="28"/>
        </w:rPr>
        <w:t>造成的直接损失。</w:t>
      </w:r>
    </w:p>
    <w:p>
      <w:pPr>
        <w:pStyle w:val="3"/>
        <w:widowControl/>
        <w:numPr>
          <w:ilvl w:val="0"/>
          <w:numId w:val="2"/>
        </w:numPr>
        <w:spacing w:before="0" w:after="0" w:line="360" w:lineRule="auto"/>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项目报价方式</w:t>
      </w:r>
    </w:p>
    <w:p>
      <w:pPr>
        <w:numPr>
          <w:ilvl w:val="0"/>
          <w:numId w:val="0"/>
        </w:numPr>
        <w:tabs>
          <w:tab w:val="left" w:pos="567"/>
        </w:tabs>
        <w:ind w:leftChars="0" w:firstLine="480" w:firstLineChars="200"/>
        <w:rPr>
          <w:rFonts w:hint="eastAsia" w:ascii="方正仿宋简体" w:hAnsi="方正仿宋简体" w:eastAsia="方正仿宋简体" w:cs="方正仿宋简体"/>
          <w:color w:val="000000"/>
          <w:sz w:val="28"/>
          <w:szCs w:val="28"/>
          <w:lang w:val="en-US" w:eastAsia="zh-CN"/>
        </w:rPr>
      </w:pPr>
      <w:r>
        <w:rPr>
          <w:rFonts w:hint="eastAsia" w:ascii="宋体" w:hAnsi="宋体" w:cs="宋体"/>
          <w:kern w:val="0"/>
          <w:sz w:val="24"/>
          <w:szCs w:val="28"/>
          <w:lang w:val="en-US" w:eastAsia="zh-CN"/>
        </w:rPr>
        <w:t>中煤易购平台填写价格时，请填所有价格合计（含税价）。</w:t>
      </w:r>
    </w:p>
    <w:tbl>
      <w:tblPr>
        <w:tblStyle w:val="11"/>
        <w:tblW w:w="797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835"/>
        <w:gridCol w:w="1080"/>
        <w:gridCol w:w="1320"/>
        <w:gridCol w:w="1117"/>
        <w:gridCol w:w="9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5" w:type="dxa"/>
            <w:vAlign w:val="center"/>
          </w:tcPr>
          <w:p>
            <w:pPr>
              <w:keepNext w:val="0"/>
              <w:keepLines w:val="0"/>
              <w:pageBreakBefore w:val="0"/>
              <w:widowControl w:val="0"/>
              <w:tabs>
                <w:tab w:val="left" w:pos="567"/>
              </w:tabs>
              <w:kinsoku/>
              <w:wordWrap/>
              <w:overflowPunct/>
              <w:topLinePunct w:val="0"/>
              <w:autoSpaceDE/>
              <w:autoSpaceDN/>
              <w:bidi w:val="0"/>
              <w:adjustRightInd/>
              <w:snapToGrid/>
              <w:spacing w:line="0" w:lineRule="atLeas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序号</w:t>
            </w:r>
          </w:p>
        </w:tc>
        <w:tc>
          <w:tcPr>
            <w:tcW w:w="2835" w:type="dxa"/>
            <w:vAlign w:val="center"/>
          </w:tcPr>
          <w:p>
            <w:pPr>
              <w:keepNext w:val="0"/>
              <w:keepLines w:val="0"/>
              <w:pageBreakBefore w:val="0"/>
              <w:widowControl w:val="0"/>
              <w:tabs>
                <w:tab w:val="left" w:pos="567"/>
              </w:tabs>
              <w:kinsoku/>
              <w:wordWrap/>
              <w:overflowPunct/>
              <w:topLinePunct w:val="0"/>
              <w:autoSpaceDE/>
              <w:autoSpaceDN/>
              <w:bidi w:val="0"/>
              <w:adjustRightInd/>
              <w:snapToGrid/>
              <w:spacing w:line="0" w:lineRule="atLeas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工作内容</w:t>
            </w:r>
          </w:p>
        </w:tc>
        <w:tc>
          <w:tcPr>
            <w:tcW w:w="1080" w:type="dxa"/>
            <w:shd w:val="clear" w:color="auto" w:fill="auto"/>
            <w:vAlign w:val="center"/>
          </w:tcPr>
          <w:p>
            <w:pPr>
              <w:keepNext w:val="0"/>
              <w:keepLines w:val="0"/>
              <w:pageBreakBefore w:val="0"/>
              <w:widowControl w:val="0"/>
              <w:tabs>
                <w:tab w:val="left" w:pos="567"/>
              </w:tabs>
              <w:kinsoku/>
              <w:wordWrap/>
              <w:overflowPunct/>
              <w:topLinePunct w:val="0"/>
              <w:autoSpaceDE/>
              <w:autoSpaceDN/>
              <w:bidi w:val="0"/>
              <w:adjustRightInd/>
              <w:snapToGrid/>
              <w:spacing w:line="0" w:lineRule="atLeast"/>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数量</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个）</w:t>
            </w:r>
          </w:p>
        </w:tc>
        <w:tc>
          <w:tcPr>
            <w:tcW w:w="1320" w:type="dxa"/>
            <w:vAlign w:val="center"/>
          </w:tcPr>
          <w:p>
            <w:pPr>
              <w:keepNext w:val="0"/>
              <w:keepLines w:val="0"/>
              <w:pageBreakBefore w:val="0"/>
              <w:widowControl w:val="0"/>
              <w:tabs>
                <w:tab w:val="left" w:pos="567"/>
              </w:tabs>
              <w:kinsoku/>
              <w:wordWrap/>
              <w:overflowPunct/>
              <w:topLinePunct w:val="0"/>
              <w:autoSpaceDE/>
              <w:autoSpaceDN/>
              <w:bidi w:val="0"/>
              <w:adjustRightInd/>
              <w:snapToGrid/>
              <w:spacing w:line="0" w:lineRule="atLeast"/>
              <w:jc w:val="center"/>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单价</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元</w:t>
            </w:r>
            <w:r>
              <w:rPr>
                <w:rFonts w:hint="eastAsia" w:ascii="宋体" w:hAnsi="宋体" w:eastAsia="宋体" w:cs="宋体"/>
                <w:color w:val="000000"/>
                <w:kern w:val="0"/>
                <w:sz w:val="21"/>
                <w:szCs w:val="21"/>
                <w:lang w:eastAsia="zh-CN"/>
              </w:rPr>
              <w:t>）</w:t>
            </w:r>
          </w:p>
        </w:tc>
        <w:tc>
          <w:tcPr>
            <w:tcW w:w="1117" w:type="dxa"/>
            <w:vAlign w:val="center"/>
          </w:tcPr>
          <w:p>
            <w:pPr>
              <w:keepNext w:val="0"/>
              <w:keepLines w:val="0"/>
              <w:pageBreakBefore w:val="0"/>
              <w:widowControl w:val="0"/>
              <w:tabs>
                <w:tab w:val="left" w:pos="567"/>
              </w:tabs>
              <w:kinsoku/>
              <w:wordWrap/>
              <w:overflowPunct/>
              <w:topLinePunct w:val="0"/>
              <w:autoSpaceDE/>
              <w:autoSpaceDN/>
              <w:bidi w:val="0"/>
              <w:adjustRightInd/>
              <w:snapToGrid/>
              <w:spacing w:line="0" w:lineRule="atLeast"/>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总价</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元</w:t>
            </w:r>
            <w:r>
              <w:rPr>
                <w:rFonts w:hint="eastAsia" w:ascii="宋体" w:hAnsi="宋体" w:eastAsia="宋体" w:cs="宋体"/>
                <w:color w:val="000000"/>
                <w:kern w:val="0"/>
                <w:sz w:val="21"/>
                <w:szCs w:val="21"/>
                <w:lang w:eastAsia="zh-CN"/>
              </w:rPr>
              <w:t>）</w:t>
            </w:r>
          </w:p>
        </w:tc>
        <w:tc>
          <w:tcPr>
            <w:tcW w:w="945" w:type="dxa"/>
            <w:vAlign w:val="center"/>
          </w:tcPr>
          <w:p>
            <w:pPr>
              <w:keepNext w:val="0"/>
              <w:keepLines w:val="0"/>
              <w:pageBreakBefore w:val="0"/>
              <w:widowControl w:val="0"/>
              <w:tabs>
                <w:tab w:val="left" w:pos="567"/>
              </w:tabs>
              <w:kinsoku/>
              <w:wordWrap/>
              <w:overflowPunct/>
              <w:topLinePunct w:val="0"/>
              <w:autoSpaceDE/>
              <w:autoSpaceDN/>
              <w:bidi w:val="0"/>
              <w:adjustRightInd/>
              <w:snapToGrid/>
              <w:spacing w:line="0" w:lineRule="atLeast"/>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5" w:type="dxa"/>
            <w:vAlign w:val="center"/>
          </w:tcPr>
          <w:p>
            <w:pPr>
              <w:keepNext w:val="0"/>
              <w:keepLines w:val="0"/>
              <w:pageBreakBefore w:val="0"/>
              <w:widowControl w:val="0"/>
              <w:tabs>
                <w:tab w:val="left" w:pos="567"/>
              </w:tabs>
              <w:kinsoku/>
              <w:wordWrap/>
              <w:overflowPunct/>
              <w:topLinePunct w:val="0"/>
              <w:autoSpaceDE/>
              <w:autoSpaceDN/>
              <w:bidi w:val="0"/>
              <w:adjustRightInd/>
              <w:snapToGrid/>
              <w:spacing w:line="0" w:lineRule="atLeast"/>
              <w:jc w:val="center"/>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1</w:t>
            </w:r>
          </w:p>
        </w:tc>
        <w:tc>
          <w:tcPr>
            <w:tcW w:w="2835" w:type="dxa"/>
            <w:vAlign w:val="center"/>
          </w:tcPr>
          <w:p>
            <w:pPr>
              <w:keepNext w:val="0"/>
              <w:keepLines w:val="0"/>
              <w:pageBreakBefore w:val="0"/>
              <w:widowControl w:val="0"/>
              <w:tabs>
                <w:tab w:val="left" w:pos="567"/>
              </w:tabs>
              <w:kinsoku/>
              <w:wordWrap/>
              <w:overflowPunct/>
              <w:topLinePunct w:val="0"/>
              <w:autoSpaceDE/>
              <w:autoSpaceDN/>
              <w:bidi w:val="0"/>
              <w:adjustRightInd/>
              <w:snapToGrid/>
              <w:spacing w:line="0" w:lineRule="atLeast"/>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kern w:val="0"/>
                <w:sz w:val="24"/>
                <w:szCs w:val="28"/>
                <w:lang w:val="en-US" w:eastAsia="zh-CN"/>
              </w:rPr>
              <w:t>便携式颗粒度仪维修</w:t>
            </w:r>
          </w:p>
        </w:tc>
        <w:tc>
          <w:tcPr>
            <w:tcW w:w="1080" w:type="dxa"/>
            <w:shd w:val="clear" w:color="auto" w:fill="auto"/>
            <w:vAlign w:val="center"/>
          </w:tcPr>
          <w:p>
            <w:pPr>
              <w:keepNext w:val="0"/>
              <w:keepLines w:val="0"/>
              <w:pageBreakBefore w:val="0"/>
              <w:widowControl w:val="0"/>
              <w:tabs>
                <w:tab w:val="left" w:pos="567"/>
              </w:tabs>
              <w:kinsoku/>
              <w:wordWrap/>
              <w:overflowPunct/>
              <w:topLinePunct w:val="0"/>
              <w:autoSpaceDE/>
              <w:autoSpaceDN/>
              <w:bidi w:val="0"/>
              <w:adjustRightInd/>
              <w:snapToGrid/>
              <w:spacing w:line="0" w:lineRule="atLeast"/>
              <w:jc w:val="center"/>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1项</w:t>
            </w:r>
          </w:p>
        </w:tc>
        <w:tc>
          <w:tcPr>
            <w:tcW w:w="1320" w:type="dxa"/>
            <w:vAlign w:val="center"/>
          </w:tcPr>
          <w:p>
            <w:pPr>
              <w:keepNext w:val="0"/>
              <w:keepLines w:val="0"/>
              <w:pageBreakBefore w:val="0"/>
              <w:widowControl w:val="0"/>
              <w:tabs>
                <w:tab w:val="left" w:pos="567"/>
              </w:tabs>
              <w:kinsoku/>
              <w:wordWrap/>
              <w:overflowPunct/>
              <w:topLinePunct w:val="0"/>
              <w:autoSpaceDE/>
              <w:autoSpaceDN/>
              <w:bidi w:val="0"/>
              <w:adjustRightInd/>
              <w:snapToGrid/>
              <w:spacing w:line="0" w:lineRule="atLeast"/>
              <w:jc w:val="center"/>
              <w:textAlignment w:val="auto"/>
              <w:rPr>
                <w:rFonts w:hint="eastAsia" w:ascii="宋体" w:hAnsi="宋体" w:eastAsia="宋体" w:cs="宋体"/>
                <w:color w:val="000000"/>
                <w:kern w:val="0"/>
                <w:sz w:val="21"/>
                <w:szCs w:val="21"/>
              </w:rPr>
            </w:pPr>
          </w:p>
        </w:tc>
        <w:tc>
          <w:tcPr>
            <w:tcW w:w="1117" w:type="dxa"/>
            <w:vAlign w:val="center"/>
          </w:tcPr>
          <w:p>
            <w:pPr>
              <w:keepNext w:val="0"/>
              <w:keepLines w:val="0"/>
              <w:pageBreakBefore w:val="0"/>
              <w:widowControl w:val="0"/>
              <w:tabs>
                <w:tab w:val="left" w:pos="567"/>
              </w:tabs>
              <w:kinsoku/>
              <w:wordWrap/>
              <w:overflowPunct/>
              <w:topLinePunct w:val="0"/>
              <w:autoSpaceDE/>
              <w:autoSpaceDN/>
              <w:bidi w:val="0"/>
              <w:adjustRightInd/>
              <w:snapToGrid/>
              <w:spacing w:line="0" w:lineRule="atLeast"/>
              <w:jc w:val="center"/>
              <w:textAlignment w:val="auto"/>
              <w:rPr>
                <w:rFonts w:hint="eastAsia" w:ascii="宋体" w:hAnsi="宋体" w:eastAsia="宋体" w:cs="宋体"/>
                <w:color w:val="000000"/>
                <w:kern w:val="0"/>
                <w:sz w:val="21"/>
                <w:szCs w:val="21"/>
              </w:rPr>
            </w:pPr>
          </w:p>
        </w:tc>
        <w:tc>
          <w:tcPr>
            <w:tcW w:w="945" w:type="dxa"/>
            <w:vAlign w:val="center"/>
          </w:tcPr>
          <w:p>
            <w:pPr>
              <w:keepNext w:val="0"/>
              <w:keepLines w:val="0"/>
              <w:pageBreakBefore w:val="0"/>
              <w:widowControl w:val="0"/>
              <w:tabs>
                <w:tab w:val="left" w:pos="567"/>
              </w:tabs>
              <w:kinsoku/>
              <w:wordWrap/>
              <w:overflowPunct/>
              <w:topLinePunct w:val="0"/>
              <w:autoSpaceDE/>
              <w:autoSpaceDN/>
              <w:bidi w:val="0"/>
              <w:adjustRightInd/>
              <w:snapToGrid/>
              <w:spacing w:line="0" w:lineRule="atLeast"/>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含税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90" w:type="dxa"/>
            <w:gridSpan w:val="3"/>
            <w:vAlign w:val="center"/>
          </w:tcPr>
          <w:p>
            <w:pPr>
              <w:keepNext w:val="0"/>
              <w:keepLines w:val="0"/>
              <w:pageBreakBefore w:val="0"/>
              <w:widowControl w:val="0"/>
              <w:tabs>
                <w:tab w:val="left" w:pos="567"/>
              </w:tabs>
              <w:kinsoku/>
              <w:wordWrap/>
              <w:overflowPunct/>
              <w:topLinePunct w:val="0"/>
              <w:autoSpaceDE/>
              <w:autoSpaceDN/>
              <w:bidi w:val="0"/>
              <w:adjustRightInd/>
              <w:snapToGrid/>
              <w:spacing w:line="0" w:lineRule="atLeas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合计：</w:t>
            </w:r>
          </w:p>
        </w:tc>
        <w:tc>
          <w:tcPr>
            <w:tcW w:w="3382" w:type="dxa"/>
            <w:gridSpan w:val="3"/>
            <w:vAlign w:val="center"/>
          </w:tcPr>
          <w:p>
            <w:pPr>
              <w:keepNext w:val="0"/>
              <w:keepLines w:val="0"/>
              <w:pageBreakBefore w:val="0"/>
              <w:widowControl w:val="0"/>
              <w:tabs>
                <w:tab w:val="left" w:pos="567"/>
              </w:tabs>
              <w:kinsoku/>
              <w:wordWrap/>
              <w:overflowPunct/>
              <w:topLinePunct w:val="0"/>
              <w:autoSpaceDE/>
              <w:autoSpaceDN/>
              <w:bidi w:val="0"/>
              <w:adjustRightInd/>
              <w:snapToGrid/>
              <w:spacing w:line="0" w:lineRule="atLeast"/>
              <w:jc w:val="center"/>
              <w:textAlignment w:val="auto"/>
              <w:rPr>
                <w:rFonts w:hint="eastAsia" w:ascii="宋体" w:hAnsi="宋体" w:eastAsia="宋体" w:cs="宋体"/>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90" w:type="dxa"/>
            <w:gridSpan w:val="3"/>
            <w:vAlign w:val="center"/>
          </w:tcPr>
          <w:p>
            <w:pPr>
              <w:keepNext w:val="0"/>
              <w:keepLines w:val="0"/>
              <w:pageBreakBefore w:val="0"/>
              <w:widowControl w:val="0"/>
              <w:tabs>
                <w:tab w:val="left" w:pos="567"/>
              </w:tabs>
              <w:kinsoku/>
              <w:wordWrap/>
              <w:overflowPunct/>
              <w:topLinePunct w:val="0"/>
              <w:autoSpaceDE/>
              <w:autoSpaceDN/>
              <w:bidi w:val="0"/>
              <w:adjustRightInd/>
              <w:snapToGrid/>
              <w:spacing w:line="0" w:lineRule="atLeas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税率：</w:t>
            </w:r>
          </w:p>
        </w:tc>
        <w:tc>
          <w:tcPr>
            <w:tcW w:w="3382" w:type="dxa"/>
            <w:gridSpan w:val="3"/>
            <w:vAlign w:val="center"/>
          </w:tcPr>
          <w:p>
            <w:pPr>
              <w:keepNext w:val="0"/>
              <w:keepLines w:val="0"/>
              <w:pageBreakBefore w:val="0"/>
              <w:widowControl w:val="0"/>
              <w:tabs>
                <w:tab w:val="left" w:pos="567"/>
              </w:tabs>
              <w:kinsoku/>
              <w:wordWrap/>
              <w:overflowPunct/>
              <w:topLinePunct w:val="0"/>
              <w:autoSpaceDE/>
              <w:autoSpaceDN/>
              <w:bidi w:val="0"/>
              <w:adjustRightInd/>
              <w:snapToGrid/>
              <w:spacing w:line="0" w:lineRule="atLeast"/>
              <w:jc w:val="center"/>
              <w:textAlignment w:val="auto"/>
              <w:rPr>
                <w:rFonts w:hint="eastAsia" w:ascii="宋体" w:hAnsi="宋体" w:eastAsia="宋体" w:cs="宋体"/>
                <w:color w:val="000000"/>
                <w:kern w:val="0"/>
                <w:sz w:val="21"/>
                <w:szCs w:val="21"/>
              </w:rPr>
            </w:pPr>
          </w:p>
        </w:tc>
      </w:tr>
    </w:tbl>
    <w:p>
      <w:pPr>
        <w:pStyle w:val="3"/>
        <w:widowControl/>
        <w:numPr>
          <w:ilvl w:val="0"/>
          <w:numId w:val="2"/>
        </w:numPr>
        <w:spacing w:before="0" w:after="0" w:line="360" w:lineRule="auto"/>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结算方式</w:t>
      </w:r>
    </w:p>
    <w:p>
      <w:pPr>
        <w:numPr>
          <w:ilvl w:val="0"/>
          <w:numId w:val="0"/>
        </w:numPr>
        <w:shd w:val="clear"/>
        <w:tabs>
          <w:tab w:val="left" w:pos="567"/>
        </w:tabs>
        <w:ind w:firstLine="480" w:firstLineChars="200"/>
        <w:rPr>
          <w:rFonts w:hint="eastAsia" w:ascii="方正仿宋简体" w:hAnsi="方正仿宋简体" w:eastAsia="方正仿宋简体" w:cs="方正仿宋简体"/>
          <w:b w:val="0"/>
          <w:bCs w:val="0"/>
          <w:sz w:val="36"/>
          <w:szCs w:val="36"/>
          <w:lang w:eastAsia="zh-CN"/>
        </w:rPr>
      </w:pPr>
      <w:r>
        <w:rPr>
          <w:rFonts w:hint="eastAsia" w:ascii="宋体" w:hAnsi="宋体" w:eastAsia="宋体" w:cs="宋体"/>
          <w:b w:val="0"/>
          <w:bCs w:val="0"/>
          <w:sz w:val="24"/>
          <w:szCs w:val="24"/>
          <w:lang w:val="en-US" w:eastAsia="zh-CN"/>
        </w:rPr>
        <w:t>询价单位取得</w:t>
      </w:r>
      <w:r>
        <w:rPr>
          <w:rFonts w:hint="eastAsia" w:ascii="宋体" w:hAnsi="宋体" w:eastAsia="宋体" w:cs="宋体"/>
          <w:color w:val="000000"/>
          <w:kern w:val="0"/>
          <w:sz w:val="24"/>
          <w:szCs w:val="28"/>
          <w:lang w:val="en-US" w:eastAsia="zh-CN"/>
        </w:rPr>
        <w:t>颗粒度仪及校准报告后</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lang w:val="zh-CN" w:eastAsia="zh-CN"/>
        </w:rPr>
        <w:t>报价</w:t>
      </w:r>
      <w:r>
        <w:rPr>
          <w:rFonts w:hint="eastAsia" w:ascii="宋体" w:hAnsi="宋体" w:eastAsia="宋体" w:cs="宋体"/>
          <w:b w:val="0"/>
          <w:bCs w:val="0"/>
          <w:sz w:val="24"/>
          <w:szCs w:val="24"/>
          <w:lang w:val="en-US" w:eastAsia="zh-CN"/>
        </w:rPr>
        <w:t>单位</w:t>
      </w:r>
      <w:r>
        <w:rPr>
          <w:rFonts w:hint="eastAsia" w:ascii="宋体" w:hAnsi="宋体" w:eastAsia="宋体" w:cs="宋体"/>
          <w:b w:val="0"/>
          <w:bCs w:val="0"/>
          <w:sz w:val="24"/>
          <w:szCs w:val="24"/>
          <w:lang w:val="zh-CN" w:eastAsia="zh-CN"/>
        </w:rPr>
        <w:t>开具</w:t>
      </w:r>
      <w:r>
        <w:rPr>
          <w:rFonts w:hint="eastAsia" w:ascii="宋体" w:hAnsi="宋体" w:eastAsia="宋体" w:cs="宋体"/>
          <w:b w:val="0"/>
          <w:bCs w:val="0"/>
          <w:sz w:val="24"/>
          <w:szCs w:val="24"/>
          <w:lang w:val="en-US" w:eastAsia="zh-CN"/>
        </w:rPr>
        <w:t>检测费用</w:t>
      </w:r>
      <w:r>
        <w:rPr>
          <w:rFonts w:hint="eastAsia" w:ascii="宋体" w:hAnsi="宋体" w:eastAsia="宋体" w:cs="宋体"/>
          <w:b w:val="0"/>
          <w:bCs w:val="0"/>
          <w:sz w:val="24"/>
          <w:szCs w:val="24"/>
          <w:lang w:val="zh-CN" w:eastAsia="zh-CN"/>
        </w:rPr>
        <w:t>100%的增值税专用发票和</w:t>
      </w:r>
      <w:r>
        <w:rPr>
          <w:rFonts w:hint="eastAsia" w:ascii="宋体" w:hAnsi="宋体" w:eastAsia="宋体" w:cs="宋体"/>
          <w:b w:val="0"/>
          <w:bCs w:val="0"/>
          <w:sz w:val="24"/>
          <w:szCs w:val="24"/>
          <w:lang w:val="en-US" w:eastAsia="zh-CN"/>
        </w:rPr>
        <w:t>10</w:t>
      </w:r>
      <w:r>
        <w:rPr>
          <w:rFonts w:hint="eastAsia" w:ascii="宋体" w:hAnsi="宋体" w:eastAsia="宋体" w:cs="宋体"/>
          <w:b w:val="0"/>
          <w:bCs w:val="0"/>
          <w:sz w:val="24"/>
          <w:szCs w:val="24"/>
          <w:lang w:val="zh-CN" w:eastAsia="zh-CN"/>
        </w:rPr>
        <w:t>0%的财务收据，询价</w:t>
      </w:r>
      <w:r>
        <w:rPr>
          <w:rFonts w:hint="eastAsia" w:ascii="宋体" w:hAnsi="宋体" w:eastAsia="宋体" w:cs="宋体"/>
          <w:b w:val="0"/>
          <w:bCs w:val="0"/>
          <w:sz w:val="24"/>
          <w:szCs w:val="24"/>
          <w:lang w:val="en-US" w:eastAsia="zh-CN"/>
        </w:rPr>
        <w:t>单位颗粒度仪正常使用</w:t>
      </w:r>
      <w:r>
        <w:rPr>
          <w:rFonts w:hint="eastAsia" w:ascii="宋体" w:hAnsi="宋体" w:eastAsia="宋体" w:cs="宋体"/>
          <w:b w:val="0"/>
          <w:bCs w:val="0"/>
          <w:sz w:val="24"/>
          <w:szCs w:val="24"/>
          <w:lang w:val="zh-CN" w:eastAsia="zh-CN"/>
        </w:rPr>
        <w:t>无误后支付</w:t>
      </w:r>
      <w:r>
        <w:rPr>
          <w:rFonts w:hint="eastAsia" w:ascii="宋体" w:hAnsi="宋体" w:eastAsia="宋体" w:cs="宋体"/>
          <w:b w:val="0"/>
          <w:bCs w:val="0"/>
          <w:sz w:val="24"/>
          <w:szCs w:val="24"/>
          <w:lang w:val="en-US" w:eastAsia="zh-CN"/>
        </w:rPr>
        <w:t>维修费用的10</w:t>
      </w:r>
      <w:r>
        <w:rPr>
          <w:rFonts w:hint="eastAsia" w:ascii="宋体" w:hAnsi="宋体" w:eastAsia="宋体" w:cs="宋体"/>
          <w:b w:val="0"/>
          <w:bCs w:val="0"/>
          <w:sz w:val="24"/>
          <w:szCs w:val="24"/>
          <w:lang w:val="zh-CN" w:eastAsia="zh-CN"/>
        </w:rPr>
        <w:t>0%（报价时注明税率）。</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简楷体">
    <w:altName w:val="黑体"/>
    <w:panose1 w:val="00000000000000000000"/>
    <w:charset w:val="86"/>
    <w:family w:val="auto"/>
    <w:pitch w:val="default"/>
    <w:sig w:usb0="00000000" w:usb1="00000000" w:usb2="00000010" w:usb3="00000000" w:csb0="00040000" w:csb1="00000000"/>
  </w:font>
  <w:font w:name="方正仿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7F4900"/>
    <w:multiLevelType w:val="singleLevel"/>
    <w:tmpl w:val="3D7F4900"/>
    <w:lvl w:ilvl="0" w:tentative="0">
      <w:start w:val="3"/>
      <w:numFmt w:val="decimal"/>
      <w:suff w:val="space"/>
      <w:lvlText w:val="%1."/>
      <w:lvlJc w:val="left"/>
    </w:lvl>
  </w:abstractNum>
  <w:abstractNum w:abstractNumId="1">
    <w:nsid w:val="4F54A3BF"/>
    <w:multiLevelType w:val="singleLevel"/>
    <w:tmpl w:val="4F54A3BF"/>
    <w:lvl w:ilvl="0" w:tentative="0">
      <w:start w:val="8"/>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hZmE1ZmNkYmRjNGFmNjM0MWFlMTM2NmZlNGI3YzkifQ=="/>
  </w:docVars>
  <w:rsids>
    <w:rsidRoot w:val="00912C8D"/>
    <w:rsid w:val="00012DC9"/>
    <w:rsid w:val="00061751"/>
    <w:rsid w:val="000A0C79"/>
    <w:rsid w:val="000B73C6"/>
    <w:rsid w:val="0013497D"/>
    <w:rsid w:val="00155258"/>
    <w:rsid w:val="0017083F"/>
    <w:rsid w:val="001C0A8E"/>
    <w:rsid w:val="00266D0A"/>
    <w:rsid w:val="0028444F"/>
    <w:rsid w:val="002B5505"/>
    <w:rsid w:val="002D6897"/>
    <w:rsid w:val="00347114"/>
    <w:rsid w:val="00380AC4"/>
    <w:rsid w:val="003F228A"/>
    <w:rsid w:val="003F6CE2"/>
    <w:rsid w:val="00422FAC"/>
    <w:rsid w:val="004407A2"/>
    <w:rsid w:val="004576D6"/>
    <w:rsid w:val="004B0232"/>
    <w:rsid w:val="004C52EA"/>
    <w:rsid w:val="004C6489"/>
    <w:rsid w:val="005433A8"/>
    <w:rsid w:val="005C7877"/>
    <w:rsid w:val="006318E8"/>
    <w:rsid w:val="006760BB"/>
    <w:rsid w:val="006911B4"/>
    <w:rsid w:val="006C39CD"/>
    <w:rsid w:val="006F0B2A"/>
    <w:rsid w:val="006F64AE"/>
    <w:rsid w:val="00737BE4"/>
    <w:rsid w:val="00762941"/>
    <w:rsid w:val="007A70CD"/>
    <w:rsid w:val="007B5A61"/>
    <w:rsid w:val="007D7C37"/>
    <w:rsid w:val="008518F9"/>
    <w:rsid w:val="00877B05"/>
    <w:rsid w:val="008A7DBE"/>
    <w:rsid w:val="008C3F1D"/>
    <w:rsid w:val="008E52EB"/>
    <w:rsid w:val="0090466A"/>
    <w:rsid w:val="00912C8D"/>
    <w:rsid w:val="00920963"/>
    <w:rsid w:val="009372E4"/>
    <w:rsid w:val="009956D9"/>
    <w:rsid w:val="009A7F0C"/>
    <w:rsid w:val="00A557C6"/>
    <w:rsid w:val="00AB3358"/>
    <w:rsid w:val="00AD6437"/>
    <w:rsid w:val="00AF1BC4"/>
    <w:rsid w:val="00B368AA"/>
    <w:rsid w:val="00B44684"/>
    <w:rsid w:val="00B519BB"/>
    <w:rsid w:val="00B61C46"/>
    <w:rsid w:val="00B94F72"/>
    <w:rsid w:val="00BB2C76"/>
    <w:rsid w:val="00BC700B"/>
    <w:rsid w:val="00BD40A7"/>
    <w:rsid w:val="00BD7649"/>
    <w:rsid w:val="00BF6836"/>
    <w:rsid w:val="00C01169"/>
    <w:rsid w:val="00CC35A4"/>
    <w:rsid w:val="00CC3AAE"/>
    <w:rsid w:val="00D326D6"/>
    <w:rsid w:val="00D33A31"/>
    <w:rsid w:val="00D57714"/>
    <w:rsid w:val="00D821B1"/>
    <w:rsid w:val="00E523EC"/>
    <w:rsid w:val="00E9331B"/>
    <w:rsid w:val="00EA2F0F"/>
    <w:rsid w:val="00ED18C7"/>
    <w:rsid w:val="00F417B0"/>
    <w:rsid w:val="00F41CB4"/>
    <w:rsid w:val="00F54D54"/>
    <w:rsid w:val="00F73172"/>
    <w:rsid w:val="00F831D1"/>
    <w:rsid w:val="00F87ECC"/>
    <w:rsid w:val="00FA3844"/>
    <w:rsid w:val="037A27B7"/>
    <w:rsid w:val="07655C02"/>
    <w:rsid w:val="07760F4C"/>
    <w:rsid w:val="0FEB2391"/>
    <w:rsid w:val="124A2222"/>
    <w:rsid w:val="12FF7442"/>
    <w:rsid w:val="13BF6AAB"/>
    <w:rsid w:val="15367FE7"/>
    <w:rsid w:val="176A0522"/>
    <w:rsid w:val="1A452104"/>
    <w:rsid w:val="1BE62C34"/>
    <w:rsid w:val="1CAC47FC"/>
    <w:rsid w:val="1DEF036D"/>
    <w:rsid w:val="1E593EFB"/>
    <w:rsid w:val="1E932DC4"/>
    <w:rsid w:val="1F2B75D3"/>
    <w:rsid w:val="20C0616F"/>
    <w:rsid w:val="223A53A6"/>
    <w:rsid w:val="24222BEC"/>
    <w:rsid w:val="29BD3100"/>
    <w:rsid w:val="2B804333"/>
    <w:rsid w:val="2D7E4417"/>
    <w:rsid w:val="328C1AD6"/>
    <w:rsid w:val="34F44C58"/>
    <w:rsid w:val="36CC7072"/>
    <w:rsid w:val="376713FE"/>
    <w:rsid w:val="38AA0DBB"/>
    <w:rsid w:val="38D61716"/>
    <w:rsid w:val="3CA27150"/>
    <w:rsid w:val="3E112E47"/>
    <w:rsid w:val="3E2F035B"/>
    <w:rsid w:val="3E3C4265"/>
    <w:rsid w:val="3E477E1B"/>
    <w:rsid w:val="3E4F66FB"/>
    <w:rsid w:val="3FFF1DCF"/>
    <w:rsid w:val="445E0FE2"/>
    <w:rsid w:val="473B30F4"/>
    <w:rsid w:val="4DDD4729"/>
    <w:rsid w:val="4F434ADA"/>
    <w:rsid w:val="53007B81"/>
    <w:rsid w:val="53913377"/>
    <w:rsid w:val="53FE575C"/>
    <w:rsid w:val="548605FA"/>
    <w:rsid w:val="55347703"/>
    <w:rsid w:val="565860D4"/>
    <w:rsid w:val="580606E9"/>
    <w:rsid w:val="58A31211"/>
    <w:rsid w:val="58D43279"/>
    <w:rsid w:val="5E06670F"/>
    <w:rsid w:val="5E177FD2"/>
    <w:rsid w:val="6076159D"/>
    <w:rsid w:val="60CD15C9"/>
    <w:rsid w:val="6137383E"/>
    <w:rsid w:val="634E3208"/>
    <w:rsid w:val="65C51F61"/>
    <w:rsid w:val="664F529B"/>
    <w:rsid w:val="67136709"/>
    <w:rsid w:val="67F91667"/>
    <w:rsid w:val="68213B58"/>
    <w:rsid w:val="6D057C56"/>
    <w:rsid w:val="6D6E59C5"/>
    <w:rsid w:val="6F8C2AA9"/>
    <w:rsid w:val="6FBC35B5"/>
    <w:rsid w:val="707131A7"/>
    <w:rsid w:val="73F80553"/>
    <w:rsid w:val="74222ED5"/>
    <w:rsid w:val="757C2ACD"/>
    <w:rsid w:val="767B3744"/>
    <w:rsid w:val="76B13213"/>
    <w:rsid w:val="76CB1E0B"/>
    <w:rsid w:val="77617B8F"/>
    <w:rsid w:val="77E6253B"/>
    <w:rsid w:val="78D0648A"/>
    <w:rsid w:val="79B10EC6"/>
    <w:rsid w:val="7CF62080"/>
    <w:rsid w:val="7E1036DA"/>
    <w:rsid w:val="7ECE266C"/>
    <w:rsid w:val="7F9226D3"/>
    <w:rsid w:val="7FA76C49"/>
    <w:rsid w:val="7FFC2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ascii="Times New Roman" w:hAnsi="Times New Roman" w:eastAsia="宋体" w:cs="Times New Roman"/>
      <w:b/>
      <w:kern w:val="44"/>
      <w:sz w:val="44"/>
      <w:szCs w:val="44"/>
    </w:rPr>
  </w:style>
  <w:style w:type="paragraph" w:styleId="4">
    <w:name w:val="heading 2"/>
    <w:basedOn w:val="3"/>
    <w:next w:val="1"/>
    <w:link w:val="16"/>
    <w:qFormat/>
    <w:uiPriority w:val="9"/>
    <w:pPr>
      <w:keepNext/>
      <w:keepLines/>
      <w:spacing w:beforeLines="50" w:afterLines="50" w:line="415" w:lineRule="auto"/>
      <w:ind w:firstLine="200" w:firstLineChars="200"/>
      <w:outlineLvl w:val="1"/>
    </w:pPr>
    <w:rPr>
      <w:rFonts w:ascii="Cambria" w:hAnsi="Cambria" w:eastAsia="仿宋" w:cs="Times New Roman"/>
      <w:bCs/>
      <w:sz w:val="30"/>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unhideWhenUsed/>
    <w:qFormat/>
    <w:uiPriority w:val="99"/>
    <w:rPr>
      <w:rFonts w:ascii="Arial" w:hAnsi="Arial"/>
      <w:sz w:val="24"/>
    </w:rPr>
  </w:style>
  <w:style w:type="paragraph" w:styleId="5">
    <w:name w:val="Body Text"/>
    <w:basedOn w:val="1"/>
    <w:link w:val="19"/>
    <w:qFormat/>
    <w:uiPriority w:val="0"/>
    <w:pPr>
      <w:snapToGrid w:val="0"/>
      <w:spacing w:line="300" w:lineRule="auto"/>
    </w:pPr>
    <w:rPr>
      <w:rFonts w:eastAsia="微软简楷体"/>
      <w:sz w:val="30"/>
    </w:rPr>
  </w:style>
  <w:style w:type="paragraph" w:styleId="6">
    <w:name w:val="Plain Text"/>
    <w:basedOn w:val="1"/>
    <w:link w:val="17"/>
    <w:qFormat/>
    <w:uiPriority w:val="0"/>
    <w:pPr>
      <w:spacing w:line="240" w:lineRule="auto"/>
    </w:pPr>
    <w:rPr>
      <w:rFonts w:hint="eastAsia" w:ascii="宋体" w:hAnsi="Courier New" w:eastAsia="宋体" w:cs="Times New Roman"/>
      <w:szCs w:val="20"/>
    </w:rPr>
  </w:style>
  <w:style w:type="paragraph" w:styleId="7">
    <w:name w:val="footer"/>
    <w:basedOn w:val="1"/>
    <w:link w:val="15"/>
    <w:unhideWhenUsed/>
    <w:qFormat/>
    <w:uiPriority w:val="99"/>
    <w:pPr>
      <w:tabs>
        <w:tab w:val="center" w:pos="4153"/>
        <w:tab w:val="right" w:pos="8306"/>
      </w:tabs>
      <w:snapToGrid w:val="0"/>
      <w:spacing w:line="240" w:lineRule="auto"/>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9">
    <w:name w:val="Normal (Web)"/>
    <w:basedOn w:val="1"/>
    <w:semiHidden/>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3">
    <w:name w:val="List Paragraph"/>
    <w:basedOn w:val="1"/>
    <w:qFormat/>
    <w:uiPriority w:val="34"/>
    <w:pPr>
      <w:ind w:firstLine="420" w:firstLineChars="200"/>
    </w:pPr>
  </w:style>
  <w:style w:type="character" w:customStyle="1" w:styleId="14">
    <w:name w:val="页眉 Char"/>
    <w:basedOn w:val="12"/>
    <w:link w:val="8"/>
    <w:qFormat/>
    <w:uiPriority w:val="99"/>
    <w:rPr>
      <w:sz w:val="18"/>
      <w:szCs w:val="18"/>
    </w:rPr>
  </w:style>
  <w:style w:type="character" w:customStyle="1" w:styleId="15">
    <w:name w:val="页脚 Char"/>
    <w:basedOn w:val="12"/>
    <w:link w:val="7"/>
    <w:qFormat/>
    <w:uiPriority w:val="99"/>
    <w:rPr>
      <w:sz w:val="18"/>
      <w:szCs w:val="18"/>
    </w:rPr>
  </w:style>
  <w:style w:type="character" w:customStyle="1" w:styleId="16">
    <w:name w:val="标题 2 Char"/>
    <w:basedOn w:val="12"/>
    <w:link w:val="4"/>
    <w:qFormat/>
    <w:uiPriority w:val="0"/>
    <w:rPr>
      <w:rFonts w:ascii="Cambria" w:hAnsi="Cambria" w:eastAsia="仿宋" w:cs="Times New Roman"/>
      <w:b/>
      <w:bCs/>
      <w:sz w:val="30"/>
      <w:szCs w:val="32"/>
    </w:rPr>
  </w:style>
  <w:style w:type="character" w:customStyle="1" w:styleId="17">
    <w:name w:val="纯文本 Char"/>
    <w:basedOn w:val="12"/>
    <w:link w:val="6"/>
    <w:qFormat/>
    <w:uiPriority w:val="0"/>
    <w:rPr>
      <w:rFonts w:ascii="宋体" w:hAnsi="Courier New" w:eastAsia="宋体" w:cs="Times New Roman"/>
      <w:szCs w:val="20"/>
    </w:rPr>
  </w:style>
  <w:style w:type="character" w:customStyle="1" w:styleId="18">
    <w:name w:val="正文文本 Char"/>
    <w:basedOn w:val="12"/>
    <w:qFormat/>
    <w:uiPriority w:val="0"/>
    <w:rPr>
      <w:rFonts w:eastAsia="微软简楷体"/>
      <w:sz w:val="30"/>
    </w:rPr>
  </w:style>
  <w:style w:type="character" w:customStyle="1" w:styleId="19">
    <w:name w:val="正文文本 Char1"/>
    <w:basedOn w:val="12"/>
    <w:link w:val="5"/>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AC9BC-828D-4FC8-8EB1-53281F5FC195}">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686</Words>
  <Characters>3916</Characters>
  <Lines>32</Lines>
  <Paragraphs>9</Paragraphs>
  <TotalTime>0</TotalTime>
  <ScaleCrop>false</ScaleCrop>
  <LinksUpToDate>false</LinksUpToDate>
  <CharactersWithSpaces>4593</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2019-05-24T07:44:00Z</dcterms:created>
  <dc:creator>王东鹏</dc:creator>
  <cp:lastModifiedBy>Administrator</cp:lastModifiedBy>
  <cp:lastPrinted>2021-04-09T03:09:00Z</cp:lastPrinted>
  <dcterms:modified xsi:type="dcterms:W3CDTF">2024-03-18T02:31:31Z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8537FDBC95E94D07A2ACCD1CD0D32E29</vt:lpwstr>
  </property>
</Properties>
</file>