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20"/>
        <w:jc w:val="center"/>
        <w:rPr>
          <w:rFonts w:hint="default"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白芦煤业3T以上油罐车租赁（四次）</w:t>
      </w:r>
    </w:p>
    <w:p>
      <w:pPr>
        <w:pStyle w:val="20"/>
        <w:rPr>
          <w:rFonts w:ascii="黑体" w:hAnsi="黑体" w:eastAsia="黑体" w:cs="黑体"/>
          <w:sz w:val="48"/>
          <w:szCs w:val="48"/>
          <w:highlight w:val="none"/>
        </w:rPr>
      </w:pPr>
    </w:p>
    <w:p>
      <w:pPr>
        <w:pStyle w:val="20"/>
        <w:rPr>
          <w:rFonts w:ascii="黑体" w:hAnsi="黑体" w:eastAsia="黑体" w:cs="黑体"/>
          <w:sz w:val="48"/>
          <w:szCs w:val="48"/>
          <w:highlight w:val="none"/>
        </w:rPr>
      </w:pPr>
    </w:p>
    <w:p>
      <w:pPr>
        <w:pStyle w:val="20"/>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7"/>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XJ202404HYGC033</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color w:val="auto"/>
          <w:sz w:val="32"/>
          <w:szCs w:val="32"/>
          <w:highlight w:val="none"/>
        </w:rPr>
        <w:t>：</w:t>
      </w:r>
      <w:r>
        <w:rPr>
          <w:rFonts w:hint="eastAsia" w:ascii="宋体" w:hAnsi="宋体" w:cs="宋体"/>
          <w:b w:val="0"/>
          <w:bCs w:val="0"/>
          <w:color w:val="auto"/>
          <w:sz w:val="32"/>
          <w:szCs w:val="32"/>
          <w:highlight w:val="none"/>
          <w:lang w:eastAsia="zh-CN"/>
        </w:rPr>
        <w:t>中煤华昱公司白芦煤业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w:t>
      </w:r>
      <w:r>
        <w:rPr>
          <w:rFonts w:hint="eastAsia" w:ascii="宋体" w:hAnsi="宋体" w:cs="宋体"/>
          <w:b w:val="0"/>
          <w:bCs w:val="0"/>
          <w:highlight w:val="none"/>
          <w:lang w:eastAsia="zh-CN"/>
        </w:rPr>
        <w:t>二四</w:t>
      </w:r>
      <w:r>
        <w:rPr>
          <w:rFonts w:hint="eastAsia" w:ascii="宋体" w:hAnsi="宋体" w:cs="宋体"/>
          <w:b w:val="0"/>
          <w:bCs w:val="0"/>
          <w:highlight w:val="none"/>
        </w:rPr>
        <w:t>年</w:t>
      </w:r>
      <w:r>
        <w:rPr>
          <w:rFonts w:hint="eastAsia" w:ascii="宋体" w:hAnsi="宋体" w:cs="宋体"/>
          <w:b w:val="0"/>
          <w:bCs w:val="0"/>
          <w:highlight w:val="none"/>
          <w:lang w:val="en-US" w:eastAsia="zh-CN"/>
        </w:rPr>
        <w:t>四</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pgNumType w:fmt="decimal" w:start="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7"/>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7"/>
        <w:rPr>
          <w:rFonts w:ascii="宋体" w:hAnsi="宋体" w:eastAsia="黑体" w:cs="宋体"/>
          <w:b w:val="0"/>
          <w:bCs w:val="0"/>
          <w:sz w:val="32"/>
          <w:szCs w:val="32"/>
          <w:highlight w:val="none"/>
        </w:rPr>
        <w:sectPr>
          <w:footerReference r:id="rId10" w:type="first"/>
          <w:footerReference r:id="rId9" w:type="default"/>
          <w:pgSz w:w="11907" w:h="16840"/>
          <w:pgMar w:top="1814" w:right="1588" w:bottom="1814" w:left="1701" w:header="851" w:footer="1644" w:gutter="0"/>
          <w:pgNumType w:fmt="decimal" w:start="1"/>
          <w:cols w:space="425" w:num="1"/>
          <w:titlePg/>
        </w:sectPr>
      </w:pPr>
    </w:p>
    <w:p/>
    <w:p>
      <w:pPr>
        <w:rPr>
          <w:highlight w:val="none"/>
        </w:rPr>
      </w:pPr>
    </w:p>
    <w:p>
      <w:pPr>
        <w:pStyle w:val="20"/>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kern w:val="0"/>
          <w:sz w:val="30"/>
          <w:szCs w:val="30"/>
          <w:shd w:val="clear" w:color="auto" w:fill="FFFFFF"/>
          <w:lang w:val="en-US" w:eastAsia="zh-CN" w:bidi="ar"/>
        </w:rPr>
      </w:pPr>
      <w:r>
        <w:rPr>
          <w:rFonts w:hint="eastAsia" w:ascii="宋体" w:hAnsi="宋体" w:cs="宋体"/>
          <w:b w:val="0"/>
          <w:bCs w:val="0"/>
          <w:sz w:val="24"/>
          <w:szCs w:val="24"/>
          <w:highlight w:val="none"/>
        </w:rPr>
        <w:t>项目名称:</w:t>
      </w:r>
      <w:r>
        <w:rPr>
          <w:rFonts w:hint="eastAsia" w:ascii="宋体" w:hAnsi="宋体" w:eastAsia="宋体" w:cs="宋体"/>
          <w:b w:val="0"/>
          <w:bCs w:val="0"/>
          <w:sz w:val="24"/>
          <w:szCs w:val="24"/>
          <w:highlight w:val="none"/>
          <w:lang w:val="en-US" w:eastAsia="zh-CN"/>
        </w:rPr>
        <w:t>中煤华昱</w:t>
      </w:r>
      <w:r>
        <w:rPr>
          <w:rFonts w:hint="eastAsia" w:ascii="宋体" w:hAnsi="宋体" w:cs="宋体"/>
          <w:b w:val="0"/>
          <w:bCs w:val="0"/>
          <w:sz w:val="24"/>
          <w:szCs w:val="24"/>
          <w:highlight w:val="none"/>
          <w:lang w:val="en-US" w:eastAsia="zh-CN"/>
        </w:rPr>
        <w:t>公司</w:t>
      </w:r>
      <w:r>
        <w:rPr>
          <w:rFonts w:hint="eastAsia" w:ascii="宋体" w:hAnsi="宋体" w:eastAsia="宋体" w:cs="宋体"/>
          <w:b w:val="0"/>
          <w:bCs w:val="0"/>
          <w:sz w:val="24"/>
          <w:szCs w:val="24"/>
          <w:highlight w:val="none"/>
          <w:lang w:val="en-US" w:eastAsia="zh-CN"/>
        </w:rPr>
        <w:t>白芦煤业</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T</w:t>
      </w:r>
      <w:r>
        <w:rPr>
          <w:rFonts w:hint="eastAsia" w:ascii="宋体" w:hAnsi="宋体" w:cs="宋体"/>
          <w:b w:val="0"/>
          <w:bCs w:val="0"/>
          <w:sz w:val="24"/>
          <w:szCs w:val="24"/>
          <w:highlight w:val="none"/>
          <w:lang w:val="en-US" w:eastAsia="zh-CN"/>
        </w:rPr>
        <w:t>以上</w:t>
      </w:r>
      <w:r>
        <w:rPr>
          <w:rFonts w:hint="eastAsia" w:ascii="宋体" w:hAnsi="宋体" w:eastAsia="宋体" w:cs="宋体"/>
          <w:b w:val="0"/>
          <w:bCs w:val="0"/>
          <w:sz w:val="24"/>
          <w:szCs w:val="24"/>
          <w:highlight w:val="none"/>
          <w:lang w:val="en-US" w:eastAsia="zh-CN"/>
        </w:rPr>
        <w:t>油罐车租赁</w:t>
      </w:r>
      <w:r>
        <w:rPr>
          <w:rFonts w:hint="eastAsia" w:ascii="宋体" w:hAnsi="宋体" w:cs="宋体"/>
          <w:b w:val="0"/>
          <w:bCs w:val="0"/>
          <w:sz w:val="24"/>
          <w:szCs w:val="24"/>
          <w:highlight w:val="none"/>
          <w:lang w:val="en-US" w:eastAsia="zh-CN"/>
        </w:rPr>
        <w:t>项目</w:t>
      </w:r>
    </w:p>
    <w:p>
      <w:pPr>
        <w:spacing w:line="360" w:lineRule="auto"/>
        <w:ind w:firstLine="480" w:firstLineChars="200"/>
        <w:rPr>
          <w:rFonts w:hint="eastAsia"/>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7"/>
        <w:rPr>
          <w:rFonts w:hint="default" w:eastAsia="宋体"/>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2024年4月23日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报名截止日期：2024年4月30日 07:40</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报价截止时间：2024年4月30日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报价揭价时间：2024年4月30日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一、项目概况及技术要求：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项目概况：白芦煤矿现井下辅助运输已完成改造，井下已实现无轨胶轮车运输，运行无轨胶轮车6辆，即将投运9辆，届时井下共计15辆胶轮车，国强、国兴矿有不同程度用油需求，合计所需柴油约28万升/年。油罐车加油点为中煤华昱公司指定加油点，为山阴县中石化（中石油），因白芦矿较其他两矿用油量较大，所以油罐车需长期存放于白芦矿，白芦矿距加油点约70公里，如国强、国兴矿有用油需求时，油罐车需及时到国强、国兴卸油，满足各矿的用油需求。白芦矿距国强约2.5公里，距国兴矿约8.5公里。</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3.工期（服务期）：三年（一年一签）</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4.服务地点：</w:t>
      </w:r>
      <w:r>
        <w:rPr>
          <w:rFonts w:hint="eastAsia" w:ascii="宋体" w:hAnsi="宋体" w:eastAsia="宋体" w:cs="宋体"/>
          <w:b w:val="0"/>
          <w:bCs w:val="0"/>
          <w:sz w:val="24"/>
          <w:szCs w:val="24"/>
          <w:highlight w:val="none"/>
          <w:lang w:val="en-US" w:eastAsia="zh-CN"/>
        </w:rPr>
        <w:t>山西朔州平鲁区中煤华昱所属各矿</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.报价方式</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固定总价</w:t>
      </w:r>
      <w:r>
        <w:rPr>
          <w:rFonts w:hint="eastAsia" w:ascii="宋体" w:hAnsi="宋体" w:cs="宋体"/>
          <w:b w:val="0"/>
          <w:bCs w:val="0"/>
          <w:sz w:val="24"/>
          <w:szCs w:val="24"/>
          <w:highlight w:val="none"/>
          <w:lang w:val="en-US" w:eastAsia="zh-CN"/>
        </w:rPr>
        <w:t>**万元</w:t>
      </w:r>
      <w:r>
        <w:rPr>
          <w:rFonts w:hint="eastAsia" w:ascii="宋体" w:hAnsi="宋体" w:eastAsia="宋体" w:cs="宋体"/>
          <w:b w:val="0"/>
          <w:bCs w:val="0"/>
          <w:sz w:val="24"/>
          <w:szCs w:val="24"/>
          <w:highlight w:val="none"/>
          <w:lang w:val="en-US" w:eastAsia="zh-CN"/>
        </w:rPr>
        <w:t>(不含税）</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eastAsia="zh-CN"/>
        </w:rPr>
        <w:t>.报价要求：本次询比价报价方式以年报价</w:t>
      </w:r>
      <w:r>
        <w:rPr>
          <w:rFonts w:hint="eastAsia" w:ascii="宋体" w:hAnsi="宋体" w:cs="宋体"/>
          <w:b w:val="0"/>
          <w:bCs w:val="0"/>
          <w:sz w:val="24"/>
          <w:szCs w:val="24"/>
          <w:highlight w:val="none"/>
          <w:lang w:val="en-US" w:eastAsia="zh-CN"/>
        </w:rPr>
        <w:t>包含人工等一切费用</w:t>
      </w:r>
      <w:r>
        <w:rPr>
          <w:rFonts w:hint="eastAsia" w:ascii="宋体" w:hAnsi="宋体" w:eastAsia="宋体" w:cs="宋体"/>
          <w:b w:val="0"/>
          <w:bCs w:val="0"/>
          <w:sz w:val="24"/>
          <w:szCs w:val="24"/>
          <w:highlight w:val="none"/>
          <w:lang w:val="en-US" w:eastAsia="zh-CN"/>
        </w:rPr>
        <w:t>（不含税）</w:t>
      </w:r>
      <w:r>
        <w:rPr>
          <w:rFonts w:hint="eastAsia" w:ascii="宋体" w:hAnsi="宋体" w:cs="宋体"/>
          <w:b w:val="0"/>
          <w:bCs w:val="0"/>
          <w:sz w:val="24"/>
          <w:szCs w:val="24"/>
          <w:highlight w:val="none"/>
          <w:lang w:val="en-US" w:eastAsia="zh-CN"/>
        </w:rPr>
        <w:t>，另需报单价**万元/年。</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w:t>
      </w:r>
      <w:r>
        <w:rPr>
          <w:rFonts w:hint="eastAsia" w:ascii="宋体" w:hAnsi="宋体" w:eastAsia="宋体" w:cs="宋体"/>
          <w:b w:val="0"/>
          <w:bCs w:val="0"/>
          <w:sz w:val="24"/>
          <w:szCs w:val="24"/>
          <w:highlight w:val="none"/>
          <w:lang w:val="en-US" w:eastAsia="zh-CN"/>
        </w:rPr>
        <w:t>.付款方式：中煤集团山西华昱能源有限公司相关制度流程</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8.验收标准：根据技术要求进行验收</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eastAsia="zh-CN"/>
        </w:rPr>
        <w:sectPr>
          <w:footerReference r:id="rId12" w:type="first"/>
          <w:footerReference r:id="rId11" w:type="default"/>
          <w:pgSz w:w="11907" w:h="16840"/>
          <w:pgMar w:top="1814" w:right="1588" w:bottom="1814" w:left="1701" w:header="851" w:footer="1644" w:gutter="0"/>
          <w:pgNumType w:fmt="decimal" w:start="1"/>
          <w:cols w:space="425" w:num="1"/>
          <w:titlePg/>
        </w:sectPr>
      </w:pP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1.报价人应具有中华人民共和国境内注册的独立法人资格。</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2.报价人所提供油罐车具备危险品运输资质，车辆行驶证，车辆含加油机，加油机必须经过市场局效验，并出具效验报告。</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3.报价人须提供近3年（2021年至今）至少1例类似项目业绩（提供合同关键页）</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4.与中煤集团山西华昱能源有限公司不存在未解决的各类纠纷(附承诺函，格式自拟)。</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i w:val="0"/>
          <w:caps w:val="0"/>
          <w:color w:val="333333"/>
          <w:spacing w:val="0"/>
          <w:sz w:val="24"/>
          <w:szCs w:val="24"/>
          <w:highlight w:val="none"/>
          <w:shd w:val="clear" w:color="auto" w:fill="FFFFFF"/>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杨泉</w:t>
      </w:r>
      <w:r>
        <w:rPr>
          <w:rFonts w:hint="eastAsia" w:ascii="宋体" w:hAnsi="宋体" w:cs="宋体"/>
          <w:i w:val="0"/>
          <w:caps w:val="0"/>
          <w:color w:val="333333"/>
          <w:spacing w:val="0"/>
          <w:sz w:val="24"/>
          <w:szCs w:val="24"/>
          <w:highlight w:val="none"/>
          <w:shd w:val="clear" w:color="auto" w:fill="FFFFFF"/>
          <w:lang w:val="en-US" w:eastAsia="zh-CN"/>
        </w:rPr>
        <w:t>(13703509991)</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电子邮箱：476242306@qq.com</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朔州市平鲁区白芦煤矿</w:t>
      </w:r>
    </w:p>
    <w:p>
      <w:pPr>
        <w:spacing w:line="360" w:lineRule="auto"/>
        <w:ind w:firstLine="480" w:firstLineChars="200"/>
        <w:rPr>
          <w:rFonts w:hint="default" w:ascii="宋体" w:hAnsi="宋体" w:eastAsia="宋体" w:cs="宋体"/>
          <w:b w:val="0"/>
          <w:bCs w:val="0"/>
          <w:sz w:val="24"/>
          <w:szCs w:val="24"/>
          <w:highlight w:val="none"/>
          <w:lang w:val="en-US" w:eastAsia="zh-CN"/>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sectPr>
          <w:footerReference r:id="rId14" w:type="first"/>
          <w:footerReference r:id="rId13" w:type="default"/>
          <w:pgSz w:w="11907" w:h="16840"/>
          <w:pgMar w:top="1814" w:right="1588" w:bottom="1814" w:left="1701" w:header="851" w:footer="1644" w:gutter="0"/>
          <w:pgNumType w:fmt="decimal" w:start="1"/>
          <w:cols w:space="425" w:num="1"/>
          <w:titlePg/>
        </w:sectPr>
      </w:pP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w:t>
      </w:r>
      <w:r>
        <w:rPr>
          <w:rFonts w:hint="eastAsia" w:ascii="宋体" w:hAnsi="宋体" w:cs="宋体"/>
          <w:color w:val="000000"/>
          <w:sz w:val="24"/>
          <w:szCs w:val="24"/>
          <w:highlight w:val="none"/>
          <w:lang w:val="en-US" w:eastAsia="zh-CN"/>
        </w:rPr>
        <w:t>不</w:t>
      </w:r>
      <w:r>
        <w:rPr>
          <w:rFonts w:hint="eastAsia" w:ascii="宋体" w:hAnsi="宋体" w:cs="宋体"/>
          <w:color w:val="000000"/>
          <w:sz w:val="24"/>
          <w:szCs w:val="24"/>
          <w:highlight w:val="none"/>
        </w:rPr>
        <w:t>含税价。</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1"/>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20"/>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sectPr>
          <w:footerReference r:id="rId16" w:type="first"/>
          <w:footerReference r:id="rId15" w:type="default"/>
          <w:pgSz w:w="11907" w:h="16840"/>
          <w:pgMar w:top="1814" w:right="1588" w:bottom="1814" w:left="1701" w:header="851" w:footer="1644" w:gutter="0"/>
          <w:pgNumType w:fmt="decimal"/>
          <w:cols w:space="425" w:num="1"/>
        </w:sectPr>
      </w:pP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7"/>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17"/>
      </w:pPr>
    </w:p>
    <w:p>
      <w:pPr>
        <w:pStyle w:val="17"/>
      </w:pPr>
    </w:p>
    <w:p>
      <w:pPr>
        <w:pStyle w:val="17"/>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1）全手续</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T</w:t>
      </w:r>
      <w:r>
        <w:rPr>
          <w:rFonts w:hint="eastAsia" w:ascii="宋体" w:hAnsi="宋体" w:cs="宋体"/>
          <w:b w:val="0"/>
          <w:bCs w:val="0"/>
          <w:sz w:val="24"/>
          <w:szCs w:val="24"/>
          <w:highlight w:val="none"/>
          <w:lang w:val="en-US" w:eastAsia="zh-CN"/>
        </w:rPr>
        <w:t>以上</w:t>
      </w:r>
      <w:r>
        <w:rPr>
          <w:rFonts w:hint="eastAsia" w:ascii="宋体" w:hAnsi="宋体" w:eastAsia="宋体" w:cs="宋体"/>
          <w:b w:val="0"/>
          <w:bCs w:val="0"/>
          <w:sz w:val="24"/>
          <w:szCs w:val="24"/>
          <w:highlight w:val="none"/>
          <w:lang w:val="en-US" w:eastAsia="zh-CN"/>
        </w:rPr>
        <w:t>油罐车，含加油机，加油机为大流量加油机，且必须经市场局效验，并附带效验报告，加油机配置15米自动回位卷盘和加油枪，油罐车的油量损耗不大于±1%每罐。</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2）注油处设置流量计，流量计应满足下列要求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a加油软管流量的125%瞬时超量而无机械损坏和精度的降低；</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b计量燃油精度不低于0.5级；</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c适用于计量柴油；</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d计量数值显示清晰，便于观察统计；</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e计量器应有单次加油量与累计加油量。</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3）驾驶员及油罐车由中标方负责，具备危险品运输从业资格证、押运员资格证</w:t>
      </w:r>
      <w:r>
        <w:rPr>
          <w:rFonts w:hint="eastAsia" w:ascii="宋体" w:hAnsi="宋体" w:cs="宋体"/>
          <w:b w:val="0"/>
          <w:bCs w:val="0"/>
          <w:sz w:val="24"/>
          <w:szCs w:val="24"/>
          <w:highlight w:val="none"/>
          <w:lang w:val="en-US" w:eastAsia="zh-CN"/>
        </w:rPr>
        <w:t>，驾驶员有与车辆想符的驾驶证</w:t>
      </w:r>
      <w:r>
        <w:rPr>
          <w:rFonts w:hint="eastAsia" w:ascii="宋体" w:hAnsi="宋体" w:eastAsia="宋体" w:cs="宋体"/>
          <w:b w:val="0"/>
          <w:bCs w:val="0"/>
          <w:sz w:val="24"/>
          <w:szCs w:val="24"/>
          <w:highlight w:val="none"/>
          <w:lang w:val="en-US" w:eastAsia="zh-CN"/>
        </w:rPr>
        <w:t>，必须24小时响应矿方用油需求。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4）所租赁油罐车由中标方负责日常维护保养，车辆及附属设施发生故障后，中标方必须在12小时内维修处理完善。</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所租赁油罐车以及驾驶员在日常运行以及住矿服务时出现任何安全事故或意外情况均由中标方自行承担负责。</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6）所租赁油罐车在政府单位以及上级单位检查出现的所有问题由中标方自行</w:t>
      </w:r>
    </w:p>
    <w:p>
      <w:pPr>
        <w:spacing w:line="360" w:lineRule="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整改处理。</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w:t>
      </w:r>
      <w:r>
        <w:rPr>
          <w:rFonts w:hint="eastAsia" w:ascii="宋体" w:hAnsi="宋体" w:eastAsia="宋体" w:cs="宋体"/>
          <w:b w:val="0"/>
          <w:bCs w:val="0"/>
          <w:sz w:val="24"/>
          <w:szCs w:val="24"/>
          <w:highlight w:val="none"/>
          <w:lang w:val="en-US" w:eastAsia="zh-CN"/>
        </w:rPr>
        <w:t>）服务期限为三年，合同一年一签，第二、三年甲方可根据第一、二年的实际承包运营情况决定是否续签。</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w:t>
      </w:r>
      <w:r>
        <w:rPr>
          <w:rFonts w:hint="eastAsia" w:ascii="宋体" w:hAnsi="宋体" w:eastAsia="宋体" w:cs="宋体"/>
          <w:b w:val="0"/>
          <w:bCs w:val="0"/>
          <w:sz w:val="24"/>
          <w:szCs w:val="24"/>
          <w:highlight w:val="none"/>
          <w:lang w:val="en-US" w:eastAsia="zh-CN"/>
        </w:rPr>
        <w:t>）中标方如在合同期限内未严格履行合同约定，甲方可单方面解除合同。</w:t>
      </w:r>
    </w:p>
    <w:p>
      <w:pPr>
        <w:ind w:firstLine="602" w:firstLineChars="200"/>
        <w:rPr>
          <w:rFonts w:hint="default"/>
          <w:lang w:val="en-US"/>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20"/>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7"/>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18" w:type="first"/>
          <w:footerReference r:id="rId17" w:type="default"/>
          <w:pgSz w:w="11907" w:h="16840"/>
          <w:pgMar w:top="1814" w:right="1588" w:bottom="1814" w:left="1701" w:header="851" w:footer="1644" w:gutter="0"/>
          <w:pgNumType w:fmt="decimal"/>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b w:val="0"/>
          <w:bCs w:val="0"/>
          <w:sz w:val="28"/>
          <w:szCs w:val="28"/>
          <w:highlight w:val="yellow"/>
          <w:lang w:val="en-US" w:eastAsia="zh-CN"/>
        </w:rPr>
        <w:t>不</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20"/>
        <w:rPr>
          <w:highlight w:val="none"/>
        </w:rPr>
      </w:pPr>
    </w:p>
    <w:p>
      <w:pPr>
        <w:pStyle w:val="20"/>
        <w:rPr>
          <w:highlight w:val="none"/>
        </w:rPr>
      </w:pPr>
    </w:p>
    <w:p>
      <w:pPr>
        <w:pStyle w:val="20"/>
        <w:rPr>
          <w:highlight w:val="none"/>
        </w:rPr>
      </w:pPr>
    </w:p>
    <w:p>
      <w:pPr>
        <w:numPr>
          <w:ilvl w:val="0"/>
          <w:numId w:val="8"/>
        </w:numPr>
        <w:spacing w:line="360" w:lineRule="auto"/>
        <w:jc w:val="center"/>
        <w:rPr>
          <w:rFonts w:hint="eastAsia" w:eastAsia="宋体"/>
          <w:lang w:eastAsia="zh-CN"/>
        </w:rPr>
      </w:pPr>
      <w:r>
        <w:rPr>
          <w:rFonts w:hint="eastAsia" w:ascii="宋体" w:hAnsi="宋体" w:cs="宋体"/>
          <w:b w:val="0"/>
          <w:bCs w:val="0"/>
          <w:highlight w:val="yellow"/>
        </w:rPr>
        <w:t>报价一览表（</w:t>
      </w:r>
      <w:r>
        <w:rPr>
          <w:rFonts w:hint="eastAsia" w:ascii="宋体" w:hAnsi="宋体" w:cs="宋体"/>
          <w:b w:val="0"/>
          <w:bCs w:val="0"/>
          <w:highlight w:val="yellow"/>
          <w:lang w:val="en-US" w:eastAsia="zh-CN"/>
        </w:rPr>
        <w:t>不</w:t>
      </w:r>
      <w:r>
        <w:rPr>
          <w:rFonts w:hint="eastAsia" w:ascii="宋体" w:hAnsi="宋体" w:cs="宋体"/>
          <w:b w:val="0"/>
          <w:bCs w:val="0"/>
          <w:highlight w:val="yellow"/>
        </w:rPr>
        <w:t>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20"/>
        <w:rPr>
          <w:rFonts w:ascii="宋体" w:hAnsi="宋体" w:cs="宋体"/>
          <w:b/>
          <w:bCs/>
          <w:szCs w:val="30"/>
          <w:highlight w:val="none"/>
        </w:rPr>
      </w:pPr>
    </w:p>
    <w:p>
      <w:pPr>
        <w:pStyle w:val="20"/>
        <w:rPr>
          <w:rFonts w:ascii="宋体" w:hAnsi="宋体" w:cs="宋体"/>
          <w:b/>
          <w:bCs/>
          <w:szCs w:val="30"/>
          <w:highlight w:val="none"/>
        </w:rPr>
      </w:pPr>
    </w:p>
    <w:p>
      <w:pPr>
        <w:pStyle w:val="20"/>
        <w:rPr>
          <w:rFonts w:ascii="宋体" w:hAnsi="宋体" w:cs="宋体"/>
          <w:b/>
          <w:bCs/>
          <w:szCs w:val="30"/>
          <w:highlight w:val="none"/>
        </w:rPr>
      </w:pPr>
    </w:p>
    <w:p>
      <w:pPr>
        <w:pStyle w:val="20"/>
        <w:rPr>
          <w:rFonts w:ascii="宋体" w:hAnsi="宋体" w:cs="宋体"/>
          <w:b/>
          <w:bCs/>
          <w:szCs w:val="30"/>
          <w:highlight w:val="none"/>
        </w:rPr>
      </w:pPr>
    </w:p>
    <w:p>
      <w:pPr>
        <w:pStyle w:val="20"/>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yellow"/>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w:t>
            </w:r>
            <w:r>
              <w:rPr>
                <w:rFonts w:hint="eastAsia" w:ascii="宋体" w:hAnsi="宋体"/>
                <w:color w:val="000000"/>
                <w:sz w:val="24"/>
                <w:szCs w:val="24"/>
                <w:highlight w:val="none"/>
                <w:lang w:val="en-US" w:eastAsia="zh-CN"/>
              </w:rPr>
              <w:t>不</w:t>
            </w:r>
            <w:r>
              <w:rPr>
                <w:rFonts w:hint="eastAsia" w:ascii="宋体" w:hAnsi="宋体"/>
                <w:color w:val="000000"/>
                <w:sz w:val="24"/>
                <w:szCs w:val="24"/>
                <w:highlight w:val="none"/>
              </w:rPr>
              <w:t>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9" w:type="default"/>
          <w:footerReference r:id="rId20" w:type="default"/>
          <w:pgSz w:w="16838" w:h="11906" w:orient="landscape"/>
          <w:pgMar w:top="1440" w:right="1080" w:bottom="1440" w:left="1080" w:header="851" w:footer="992" w:gutter="0"/>
          <w:pgNumType w:fmt="decimal"/>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20"/>
        <w:rPr>
          <w:highlight w:val="none"/>
        </w:rPr>
      </w:pPr>
      <w:r>
        <w:rPr>
          <w:highlight w:val="none"/>
        </w:rPr>
        <w:br w:type="page"/>
      </w:r>
    </w:p>
    <w:p>
      <w:pPr>
        <w:pStyle w:val="20"/>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7"/>
        <w:rPr>
          <w:rFonts w:hint="eastAsia" w:ascii="宋体" w:hAnsi="宋体" w:cs="宋体"/>
          <w:sz w:val="32"/>
          <w:szCs w:val="32"/>
          <w:highlight w:val="none"/>
        </w:rPr>
      </w:pPr>
    </w:p>
    <w:p>
      <w:pPr>
        <w:rPr>
          <w:rFonts w:hint="eastAsia"/>
          <w:highlight w:val="none"/>
        </w:rPr>
      </w:pPr>
    </w:p>
    <w:p>
      <w:pPr>
        <w:pStyle w:val="17"/>
        <w:rPr>
          <w:rFonts w:hint="default" w:eastAsia="宋体"/>
          <w:highlight w:val="none"/>
          <w:lang w:val="en-US" w:eastAsia="zh-CN"/>
        </w:rPr>
      </w:pPr>
      <w:r>
        <w:rPr>
          <w:rFonts w:hint="eastAsia"/>
          <w:highlight w:val="none"/>
          <w:lang w:val="en-US" w:eastAsia="zh-CN"/>
        </w:rPr>
        <w:t xml:space="preserve">                      六、服务方案</w:t>
      </w:r>
    </w:p>
    <w:p>
      <w:pPr>
        <w:pStyle w:val="17"/>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20"/>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20"/>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20"/>
        <w:spacing w:line="360" w:lineRule="auto"/>
        <w:ind w:firstLine="602"/>
        <w:jc w:val="left"/>
        <w:rPr>
          <w:rFonts w:ascii="宋体" w:hAnsi="宋体" w:cs="宋体"/>
          <w:bCs/>
          <w:sz w:val="30"/>
          <w:szCs w:val="30"/>
          <w:highlight w:val="none"/>
        </w:rPr>
      </w:pPr>
    </w:p>
    <w:p>
      <w:pPr>
        <w:pStyle w:val="20"/>
        <w:spacing w:line="360" w:lineRule="auto"/>
        <w:ind w:firstLine="602"/>
        <w:jc w:val="left"/>
        <w:rPr>
          <w:rFonts w:ascii="宋体" w:hAnsi="宋体" w:cs="宋体"/>
          <w:bCs/>
          <w:sz w:val="30"/>
          <w:szCs w:val="30"/>
          <w:highlight w:val="none"/>
        </w:rPr>
      </w:pPr>
    </w:p>
    <w:p>
      <w:pPr>
        <w:pStyle w:val="20"/>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20"/>
        <w:spacing w:line="360" w:lineRule="auto"/>
        <w:jc w:val="left"/>
        <w:rPr>
          <w:rFonts w:ascii="宋体" w:hAnsi="宋体" w:cs="宋体"/>
          <w:bCs/>
          <w:sz w:val="30"/>
          <w:szCs w:val="30"/>
          <w:highlight w:val="none"/>
        </w:rPr>
      </w:pP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20"/>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21" w:type="default"/>
          <w:footerReference r:id="rId22" w:type="default"/>
          <w:pgSz w:w="11906" w:h="16838"/>
          <w:pgMar w:top="1083" w:right="1440" w:bottom="1083" w:left="1440" w:header="851" w:footer="992" w:gutter="0"/>
          <w:pgNumType w:fmt="decimal"/>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20"/>
        <w:rPr>
          <w:rFonts w:hint="eastAsia"/>
          <w:highlight w:val="none"/>
          <w:lang w:val="en-US" w:eastAsia="zh-CN"/>
        </w:rPr>
      </w:pPr>
    </w:p>
    <w:p>
      <w:pPr>
        <w:pStyle w:val="20"/>
        <w:rPr>
          <w:rFonts w:hint="eastAsia" w:eastAsia="宋体"/>
          <w:b w:val="0"/>
          <w:bCs w:val="0"/>
          <w:highlight w:val="none"/>
          <w:lang w:val="en-US" w:eastAsia="zh-CN"/>
        </w:rPr>
      </w:pPr>
    </w:p>
    <w:sectPr>
      <w:pgSz w:w="11906" w:h="16838"/>
      <w:pgMar w:top="1083" w:right="1440" w:bottom="1083" w:left="1440" w:header="851" w:footer="992" w:gutter="0"/>
      <w:pgNumType w:fmt="decimal"/>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r>
      <w:rPr>
        <w:rFonts w:hint="eastAsia" w:cs="Times New Roman"/>
        <w:lang w:val="en-US" w:eastAsia="zh-CN"/>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r>
      <w:rPr>
        <w:rFonts w:hint="eastAsia" w:cs="Times New Roman"/>
        <w:lang w:val="en-US" w:eastAsia="zh-CN"/>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r>
      <w:rPr>
        <w:rFonts w:hint="eastAsia" w:cs="Times New Roman"/>
        <w:lang w:val="en-US" w:eastAsia="zh-CN"/>
      </w:rPr>
      <w:t>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0" w:leftChars="0" w:firstLine="0" w:firstLineChars="0"/>
      <w:rPr>
        <w:rFonts w:hint="eastAsia" w:eastAsia="仿宋_GB2312"/>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MmIwNWJhYjcyZGMxMGMyY2ZjNTFjOWRmNDg0YWY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36C1E3B"/>
    <w:rsid w:val="04377DA6"/>
    <w:rsid w:val="044955CA"/>
    <w:rsid w:val="061C36BA"/>
    <w:rsid w:val="08A8480D"/>
    <w:rsid w:val="09352049"/>
    <w:rsid w:val="0A912D3C"/>
    <w:rsid w:val="0B440B42"/>
    <w:rsid w:val="0BF508B4"/>
    <w:rsid w:val="0C215F5C"/>
    <w:rsid w:val="0C297F82"/>
    <w:rsid w:val="0C540FAF"/>
    <w:rsid w:val="0CBF3D62"/>
    <w:rsid w:val="0EB30D0D"/>
    <w:rsid w:val="0F604FE4"/>
    <w:rsid w:val="0F77472F"/>
    <w:rsid w:val="0FA03417"/>
    <w:rsid w:val="0FBB434C"/>
    <w:rsid w:val="0FFE2944"/>
    <w:rsid w:val="10F27FB9"/>
    <w:rsid w:val="11026497"/>
    <w:rsid w:val="115D0FA0"/>
    <w:rsid w:val="119C2B16"/>
    <w:rsid w:val="130D5D28"/>
    <w:rsid w:val="13A46977"/>
    <w:rsid w:val="13D27127"/>
    <w:rsid w:val="13D60078"/>
    <w:rsid w:val="145A4263"/>
    <w:rsid w:val="1477734B"/>
    <w:rsid w:val="14AE38DE"/>
    <w:rsid w:val="14E66AFD"/>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89A7B6F"/>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679CB"/>
    <w:rsid w:val="32890F14"/>
    <w:rsid w:val="32D26775"/>
    <w:rsid w:val="32F75E1F"/>
    <w:rsid w:val="334C6D3F"/>
    <w:rsid w:val="33573CB3"/>
    <w:rsid w:val="33843E73"/>
    <w:rsid w:val="34126E2C"/>
    <w:rsid w:val="34CF08AA"/>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5A52367"/>
    <w:rsid w:val="55D556E0"/>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E7F9A"/>
    <w:rsid w:val="60EF445E"/>
    <w:rsid w:val="62126E0E"/>
    <w:rsid w:val="62D93E68"/>
    <w:rsid w:val="62FF5D54"/>
    <w:rsid w:val="63710868"/>
    <w:rsid w:val="63AC2F92"/>
    <w:rsid w:val="644D0C37"/>
    <w:rsid w:val="64C50123"/>
    <w:rsid w:val="65244228"/>
    <w:rsid w:val="65843D37"/>
    <w:rsid w:val="659A40E4"/>
    <w:rsid w:val="65F85CC4"/>
    <w:rsid w:val="67431B96"/>
    <w:rsid w:val="67C972BA"/>
    <w:rsid w:val="68767A8D"/>
    <w:rsid w:val="68F4010F"/>
    <w:rsid w:val="692E0A4B"/>
    <w:rsid w:val="69B5367B"/>
    <w:rsid w:val="69CE664B"/>
    <w:rsid w:val="6A4D6295"/>
    <w:rsid w:val="6AA36C78"/>
    <w:rsid w:val="6ADD1BAA"/>
    <w:rsid w:val="6AEC25EF"/>
    <w:rsid w:val="6B4C26F3"/>
    <w:rsid w:val="6B601888"/>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2A6238"/>
    <w:rsid w:val="73BD08B4"/>
    <w:rsid w:val="74826C48"/>
    <w:rsid w:val="74F710CB"/>
    <w:rsid w:val="750E0A19"/>
    <w:rsid w:val="757C1CC4"/>
    <w:rsid w:val="759318E8"/>
    <w:rsid w:val="75B51DBC"/>
    <w:rsid w:val="75C7236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320274"/>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semiHidden/>
    <w:qFormat/>
    <w:uiPriority w:val="99"/>
    <w:pPr>
      <w:ind w:left="420" w:leftChars="200"/>
    </w:pPr>
    <w:rPr>
      <w:b w:val="0"/>
      <w:bCs w:val="0"/>
      <w:sz w:val="21"/>
      <w:szCs w:val="21"/>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toa heading"/>
    <w:basedOn w:val="1"/>
    <w:next w:val="1"/>
    <w:qFormat/>
    <w:locked/>
    <w:uiPriority w:val="0"/>
    <w:rPr>
      <w:rFonts w:ascii="Arial" w:hAnsi="Arial"/>
    </w:rPr>
  </w:style>
  <w:style w:type="paragraph" w:styleId="18">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70"/>
    <w:qFormat/>
    <w:uiPriority w:val="99"/>
    <w:pPr>
      <w:spacing w:after="120"/>
    </w:pPr>
    <w:rPr>
      <w:sz w:val="16"/>
      <w:szCs w:val="16"/>
    </w:rPr>
  </w:style>
  <w:style w:type="paragraph" w:styleId="20">
    <w:name w:val="Body Text"/>
    <w:basedOn w:val="1"/>
    <w:link w:val="64"/>
    <w:qFormat/>
    <w:uiPriority w:val="99"/>
    <w:pPr>
      <w:spacing w:after="120"/>
    </w:pPr>
    <w:rPr>
      <w:b w:val="0"/>
      <w:bCs w:val="0"/>
      <w:sz w:val="21"/>
      <w:szCs w:val="21"/>
    </w:rPr>
  </w:style>
  <w:style w:type="paragraph" w:styleId="21">
    <w:name w:val="Body Text Indent"/>
    <w:basedOn w:val="1"/>
    <w:link w:val="71"/>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2"/>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4"/>
    <w:qFormat/>
    <w:uiPriority w:val="99"/>
    <w:pPr>
      <w:spacing w:after="120" w:line="480" w:lineRule="auto"/>
      <w:ind w:left="420" w:leftChars="200"/>
    </w:pPr>
  </w:style>
  <w:style w:type="paragraph" w:styleId="29">
    <w:name w:val="Balloon Text"/>
    <w:basedOn w:val="1"/>
    <w:link w:val="75"/>
    <w:semiHidden/>
    <w:qFormat/>
    <w:uiPriority w:val="99"/>
    <w:rPr>
      <w:rFonts w:ascii="Calibri" w:hAnsi="Calibri" w:cs="Calibri"/>
      <w:b w:val="0"/>
      <w:bCs w:val="0"/>
      <w:sz w:val="18"/>
      <w:szCs w:val="18"/>
    </w:rPr>
  </w:style>
  <w:style w:type="paragraph" w:styleId="30">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78"/>
    <w:qFormat/>
    <w:uiPriority w:val="99"/>
    <w:pPr>
      <w:spacing w:after="120"/>
      <w:ind w:left="420" w:leftChars="200"/>
    </w:pPr>
    <w:rPr>
      <w:sz w:val="16"/>
      <w:szCs w:val="16"/>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8"/>
    <w:next w:val="18"/>
    <w:link w:val="165"/>
    <w:semiHidden/>
    <w:qFormat/>
    <w:uiPriority w:val="99"/>
    <w:pPr>
      <w:adjustRightInd/>
      <w:spacing w:line="240" w:lineRule="auto"/>
      <w:textAlignment w:val="auto"/>
    </w:pPr>
    <w:rPr>
      <w:b/>
      <w:bCs/>
      <w:kern w:val="2"/>
      <w:sz w:val="21"/>
      <w:szCs w:val="21"/>
    </w:rPr>
  </w:style>
  <w:style w:type="paragraph" w:styleId="43">
    <w:name w:val="Body Text First Indent"/>
    <w:basedOn w:val="20"/>
    <w:link w:val="67"/>
    <w:qFormat/>
    <w:uiPriority w:val="99"/>
    <w:pPr>
      <w:ind w:firstLine="420"/>
    </w:pPr>
  </w:style>
  <w:style w:type="paragraph" w:styleId="44">
    <w:name w:val="Body Text First Indent 2"/>
    <w:basedOn w:val="21"/>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4"/>
    <w:qFormat/>
    <w:locked/>
    <w:uiPriority w:val="99"/>
    <w:rPr>
      <w:rFonts w:eastAsia="仿宋_GB2312" w:cs="Times New Roman"/>
      <w:b/>
      <w:bCs/>
      <w:sz w:val="30"/>
      <w:szCs w:val="30"/>
      <w:lang w:val="en-US" w:eastAsia="zh-CN"/>
    </w:rPr>
  </w:style>
  <w:style w:type="character" w:customStyle="1" w:styleId="57">
    <w:name w:val="标题 3 Char"/>
    <w:basedOn w:val="48"/>
    <w:link w:val="5"/>
    <w:semiHidden/>
    <w:qFormat/>
    <w:locked/>
    <w:uiPriority w:val="99"/>
    <w:rPr>
      <w:rFonts w:cs="Times New Roman"/>
      <w:b/>
      <w:bCs/>
      <w:sz w:val="32"/>
      <w:szCs w:val="32"/>
    </w:rPr>
  </w:style>
  <w:style w:type="character" w:customStyle="1" w:styleId="58">
    <w:name w:val="标题 4 Char"/>
    <w:basedOn w:val="48"/>
    <w:link w:val="6"/>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7"/>
    <w:qFormat/>
    <w:locked/>
    <w:uiPriority w:val="99"/>
    <w:rPr>
      <w:rFonts w:eastAsia="宋体" w:cs="Times New Roman"/>
      <w:b/>
      <w:bCs/>
      <w:kern w:val="2"/>
      <w:sz w:val="28"/>
      <w:szCs w:val="28"/>
      <w:lang w:val="en-US" w:eastAsia="zh-CN"/>
    </w:rPr>
  </w:style>
  <w:style w:type="character" w:customStyle="1" w:styleId="60">
    <w:name w:val="标题 6 Char"/>
    <w:basedOn w:val="48"/>
    <w:link w:val="8"/>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9"/>
    <w:qFormat/>
    <w:locked/>
    <w:uiPriority w:val="99"/>
    <w:rPr>
      <w:rFonts w:eastAsia="宋体" w:cs="Times New Roman"/>
      <w:b/>
      <w:bCs/>
      <w:kern w:val="2"/>
      <w:sz w:val="24"/>
      <w:szCs w:val="24"/>
      <w:lang w:val="en-US" w:eastAsia="zh-CN"/>
    </w:rPr>
  </w:style>
  <w:style w:type="character" w:customStyle="1" w:styleId="62">
    <w:name w:val="标题 8 Char"/>
    <w:basedOn w:val="48"/>
    <w:link w:val="10"/>
    <w:qFormat/>
    <w:locked/>
    <w:uiPriority w:val="99"/>
    <w:rPr>
      <w:rFonts w:ascii="Arial" w:hAnsi="Arial" w:eastAsia="黑体" w:cs="Arial"/>
      <w:kern w:val="2"/>
      <w:sz w:val="24"/>
      <w:szCs w:val="24"/>
      <w:lang w:val="en-US" w:eastAsia="zh-CN"/>
    </w:rPr>
  </w:style>
  <w:style w:type="character" w:customStyle="1" w:styleId="63">
    <w:name w:val="标题 9 Char"/>
    <w:basedOn w:val="48"/>
    <w:link w:val="11"/>
    <w:qFormat/>
    <w:locked/>
    <w:uiPriority w:val="99"/>
    <w:rPr>
      <w:rFonts w:ascii="Arial" w:hAnsi="Arial" w:eastAsia="黑体" w:cs="Arial"/>
      <w:kern w:val="2"/>
      <w:sz w:val="21"/>
      <w:szCs w:val="21"/>
      <w:lang w:val="en-US" w:eastAsia="zh-CN"/>
    </w:rPr>
  </w:style>
  <w:style w:type="character" w:customStyle="1" w:styleId="64">
    <w:name w:val="正文文本 Char"/>
    <w:basedOn w:val="48"/>
    <w:link w:val="20"/>
    <w:qFormat/>
    <w:locked/>
    <w:uiPriority w:val="99"/>
    <w:rPr>
      <w:rFonts w:cs="Times New Roman"/>
      <w:kern w:val="2"/>
      <w:sz w:val="21"/>
      <w:szCs w:val="21"/>
    </w:rPr>
  </w:style>
  <w:style w:type="character" w:customStyle="1" w:styleId="65">
    <w:name w:val="批注文字 Char"/>
    <w:basedOn w:val="48"/>
    <w:link w:val="18"/>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6"/>
    <w:qFormat/>
    <w:locked/>
    <w:uiPriority w:val="99"/>
    <w:rPr>
      <w:rFonts w:eastAsia="宋体" w:cs="Times New Roman"/>
      <w:b/>
      <w:bCs/>
      <w:kern w:val="2"/>
      <w:sz w:val="30"/>
      <w:szCs w:val="30"/>
      <w:lang w:val="en-US" w:eastAsia="zh-CN"/>
    </w:rPr>
  </w:style>
  <w:style w:type="character" w:customStyle="1" w:styleId="70">
    <w:name w:val="正文文本 3 Char"/>
    <w:basedOn w:val="48"/>
    <w:link w:val="19"/>
    <w:semiHidden/>
    <w:qFormat/>
    <w:locked/>
    <w:uiPriority w:val="99"/>
    <w:rPr>
      <w:rFonts w:cs="Times New Roman"/>
      <w:b/>
      <w:bCs/>
      <w:sz w:val="16"/>
      <w:szCs w:val="16"/>
    </w:rPr>
  </w:style>
  <w:style w:type="character" w:customStyle="1" w:styleId="71">
    <w:name w:val="正文文本缩进 Char"/>
    <w:basedOn w:val="48"/>
    <w:link w:val="21"/>
    <w:semiHidden/>
    <w:qFormat/>
    <w:locked/>
    <w:uiPriority w:val="99"/>
    <w:rPr>
      <w:rFonts w:cs="Times New Roman"/>
      <w:b/>
      <w:bCs/>
      <w:sz w:val="30"/>
      <w:szCs w:val="30"/>
    </w:rPr>
  </w:style>
  <w:style w:type="character" w:customStyle="1" w:styleId="72">
    <w:name w:val="纯文本 Char"/>
    <w:basedOn w:val="48"/>
    <w:link w:val="25"/>
    <w:semiHidden/>
    <w:qFormat/>
    <w:locked/>
    <w:uiPriority w:val="99"/>
    <w:rPr>
      <w:rFonts w:ascii="宋体" w:hAnsi="Courier New" w:cs="Courier New"/>
      <w:b/>
      <w:bCs/>
      <w:sz w:val="21"/>
      <w:szCs w:val="21"/>
    </w:rPr>
  </w:style>
  <w:style w:type="character" w:customStyle="1" w:styleId="73">
    <w:name w:val="日期 Char"/>
    <w:basedOn w:val="48"/>
    <w:link w:val="27"/>
    <w:semiHidden/>
    <w:qFormat/>
    <w:locked/>
    <w:uiPriority w:val="99"/>
    <w:rPr>
      <w:rFonts w:cs="Times New Roman"/>
      <w:b/>
      <w:bCs/>
      <w:sz w:val="30"/>
      <w:szCs w:val="30"/>
    </w:rPr>
  </w:style>
  <w:style w:type="character" w:customStyle="1" w:styleId="74">
    <w:name w:val="正文文本缩进 2 Char"/>
    <w:basedOn w:val="48"/>
    <w:link w:val="28"/>
    <w:semiHidden/>
    <w:qFormat/>
    <w:locked/>
    <w:uiPriority w:val="99"/>
    <w:rPr>
      <w:rFonts w:cs="Times New Roman"/>
      <w:b/>
      <w:bCs/>
      <w:sz w:val="30"/>
      <w:szCs w:val="30"/>
    </w:rPr>
  </w:style>
  <w:style w:type="character" w:customStyle="1" w:styleId="75">
    <w:name w:val="批注框文本 Char"/>
    <w:basedOn w:val="48"/>
    <w:link w:val="29"/>
    <w:semiHidden/>
    <w:qFormat/>
    <w:locked/>
    <w:uiPriority w:val="99"/>
    <w:rPr>
      <w:rFonts w:cs="Times New Roman"/>
      <w:b/>
      <w:bCs/>
      <w:sz w:val="2"/>
    </w:rPr>
  </w:style>
  <w:style w:type="character" w:customStyle="1" w:styleId="76">
    <w:name w:val="页脚 Char"/>
    <w:basedOn w:val="48"/>
    <w:link w:val="30"/>
    <w:qFormat/>
    <w:locked/>
    <w:uiPriority w:val="99"/>
    <w:rPr>
      <w:rFonts w:ascii="仿宋_GB2312" w:eastAsia="仿宋_GB2312" w:cs="仿宋_GB2312"/>
      <w:sz w:val="18"/>
      <w:szCs w:val="18"/>
    </w:rPr>
  </w:style>
  <w:style w:type="character" w:customStyle="1" w:styleId="77">
    <w:name w:val="页眉 Char"/>
    <w:basedOn w:val="48"/>
    <w:link w:val="31"/>
    <w:qFormat/>
    <w:locked/>
    <w:uiPriority w:val="99"/>
    <w:rPr>
      <w:rFonts w:ascii="仿宋_GB2312" w:eastAsia="仿宋_GB2312" w:cs="仿宋_GB2312"/>
      <w:sz w:val="18"/>
      <w:szCs w:val="18"/>
    </w:rPr>
  </w:style>
  <w:style w:type="character" w:customStyle="1" w:styleId="78">
    <w:name w:val="正文文本缩进 3 Char"/>
    <w:basedOn w:val="48"/>
    <w:link w:val="36"/>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5.xml"/><Relationship Id="rId21" Type="http://schemas.openxmlformats.org/officeDocument/2006/relationships/header" Target="header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4783</Words>
  <Characters>5025</Characters>
  <Lines>56</Lines>
  <Paragraphs>16</Paragraphs>
  <TotalTime>3</TotalTime>
  <ScaleCrop>false</ScaleCrop>
  <LinksUpToDate>false</LinksUpToDate>
  <CharactersWithSpaces>5621</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2024-01-29T02:31:00Z</cp:lastPrinted>
  <dcterms:modified xsi:type="dcterms:W3CDTF">2024-04-23T11:47:34Z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2F0ED1DB138A4DD7B305E156BD3B638B_13</vt:lpwstr>
  </property>
</Properties>
</file>