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24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spacing w:line="24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国兴煤业委托第三方开展矿山隐蔽致灾因素普查方案及报告编制项目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p>
    <w:p>
      <w:pPr>
        <w:jc w:val="center"/>
        <w:rPr>
          <w:rFonts w:hint="eastAsia" w:ascii="黑体" w:hAnsi="黑体" w:eastAsia="黑体" w:cs="黑体"/>
          <w:b w:val="0"/>
          <w:bCs w:val="0"/>
          <w:sz w:val="72"/>
          <w:szCs w:val="72"/>
          <w:highlight w:val="none"/>
        </w:rPr>
      </w:pPr>
    </w:p>
    <w:p>
      <w:pPr>
        <w:jc w:val="center"/>
        <w:rPr>
          <w:rFonts w:hint="eastAsia"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p>
    <w:p>
      <w:pPr>
        <w:jc w:val="center"/>
        <w:rPr>
          <w:rFonts w:hint="eastAsia" w:ascii="黑体" w:hAnsi="黑体" w:eastAsia="黑体" w:cs="黑体"/>
          <w:b w:val="0"/>
          <w:bCs w:val="0"/>
          <w:sz w:val="72"/>
          <w:szCs w:val="72"/>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spacing w:line="360" w:lineRule="auto"/>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XJ202404HYGC122</w:t>
      </w:r>
    </w:p>
    <w:p>
      <w:pPr>
        <w:autoSpaceDE w:val="0"/>
        <w:autoSpaceDN w:val="0"/>
        <w:adjustRightInd w:val="0"/>
        <w:spacing w:line="36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国兴煤业</w:t>
      </w:r>
    </w:p>
    <w:p>
      <w:pPr>
        <w:spacing w:line="360" w:lineRule="auto"/>
        <w:jc w:val="both"/>
        <w:rPr>
          <w:rFonts w:ascii="宋体"/>
          <w:b w:val="0"/>
          <w:bCs w:val="0"/>
          <w:color w:val="F2F2F2"/>
          <w:highlight w:val="none"/>
        </w:rPr>
      </w:pPr>
      <w:r>
        <w:rPr>
          <w:rFonts w:hint="eastAsia" w:ascii="宋体" w:hAnsi="宋体" w:cs="宋体"/>
          <w:b w:val="0"/>
          <w:bCs w:val="0"/>
          <w:color w:val="FFFFFF"/>
          <w:sz w:val="32"/>
          <w:szCs w:val="32"/>
          <w:highlight w:val="none"/>
        </w:rPr>
        <w:t>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bookmarkStart w:id="1" w:name="_GoBack"/>
      <w:bookmarkEnd w:id="1"/>
      <w:r>
        <w:rPr>
          <w:rFonts w:hint="eastAsia" w:ascii="宋体" w:hAnsi="宋体" w:cs="宋体"/>
          <w:b w:val="0"/>
          <w:bCs w:val="0"/>
          <w:sz w:val="24"/>
          <w:szCs w:val="24"/>
          <w:highlight w:val="none"/>
          <w:lang w:val="en-US" w:eastAsia="zh-CN"/>
        </w:rPr>
        <w:t>国兴煤业</w:t>
      </w:r>
      <w:r>
        <w:rPr>
          <w:rFonts w:hint="eastAsia" w:ascii="宋体" w:hAnsi="宋体" w:cs="宋体"/>
          <w:b w:val="0"/>
          <w:bCs w:val="0"/>
          <w:sz w:val="24"/>
          <w:szCs w:val="24"/>
          <w:highlight w:val="none"/>
        </w:rPr>
        <w:t>委托第三方</w:t>
      </w:r>
      <w:r>
        <w:rPr>
          <w:rFonts w:hint="eastAsia" w:ascii="宋体" w:hAnsi="宋体" w:cs="宋体"/>
          <w:b w:val="0"/>
          <w:bCs w:val="0"/>
          <w:sz w:val="24"/>
          <w:szCs w:val="24"/>
          <w:highlight w:val="none"/>
          <w:lang w:val="en-US" w:eastAsia="zh-CN"/>
        </w:rPr>
        <w:t>开展矿山隐蔽致灾因素普查方案及报告编制项目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2024年4月22日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报名截止日期：2024年4月29日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报价截止时间：2024年4月29日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报价揭价时间：2024年4月29日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按照国家矿山安全监察局综合司下发的《矿山隐蔽致灾因素普查规范（征求意见稿）》、平鲁区应急局下发的《关于进一步加强煤矿隐蔽致灾因素普查治理工作的通知》平应急字〔2023〕199号文及平鲁区应急局下发的《矿山隐蔽致灾因素普查工作流程》等文件要求，为加强和规范煤矿隐蔽致灾因素普查治理工作，实现煤矿灾害治理模式向事前预防转型，有效防范煤矿各类灾害事故，要求煤矿企业根据3~5年的生产规划，对照隐蔽致灾因素，评估矿山现有资料的完整性、准确性，编制《矿山隐蔽致灾因素普查方案》，并根据《矿山隐蔽致灾因素普查方案》开展普查工程或普查工作，经普查后编制完成《矿山隐蔽致灾因素普查治理报告》，并按照通过审查的普查治理报告中制定的针对性治理方案进行治理，治理结果要进行治理效果评价，编制《矿山隐蔽致灾因素治理效果评价报告》，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1个月内完成编制《矿山隐蔽致灾因素普查方案》，4个月内完成编制《矿山隐蔽致灾因素普查治理报告》，本年末完成编制《矿山隐蔽致灾因素治理效果评价报告》。</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4.服务地点：山西朔州平鲁区国兴煤业有限公司。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5.报价方式：固定总价**万元（含税,税率6%）。</w:t>
      </w:r>
    </w:p>
    <w:p>
      <w:pPr>
        <w:spacing w:line="360" w:lineRule="auto"/>
        <w:ind w:firstLine="480" w:firstLineChars="200"/>
        <w:rPr>
          <w:rFonts w:hint="eastAsia"/>
          <w:lang w:val="en-US" w:eastAsia="zh-CN"/>
        </w:rPr>
      </w:pPr>
      <w:r>
        <w:rPr>
          <w:rFonts w:hint="eastAsia" w:ascii="宋体" w:hAnsi="宋体" w:cs="宋体"/>
          <w:b w:val="0"/>
          <w:bCs w:val="0"/>
          <w:sz w:val="24"/>
          <w:szCs w:val="24"/>
          <w:highlight w:val="none"/>
          <w:lang w:val="en-US" w:eastAsia="zh-CN"/>
        </w:rPr>
        <w:t>6.报价要求：报价金额包含报告编制费、评审费等一切费用的含税总价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7.付款方式：执行山西朔州平鲁区国兴煤业有限公司相关制度流程</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8.验收标准：甲方对乙方编制的报告质量有审查的权利，如果不能达到甲方要求，甲方有权不予结算。</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2.报价人须提供近三年（2021年3月至今，以合同签订时间为准）至少三例类似项目业绩（提供合同关键页，包含合同封面、服务内容、合同双方签字页）。</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r>
        <w:rPr>
          <w:rFonts w:hint="eastAsia" w:ascii="宋体" w:hAnsi="宋体" w:eastAsia="宋体" w:cs="宋体"/>
          <w:b w:val="0"/>
          <w:bCs w:val="0"/>
          <w:sz w:val="24"/>
          <w:szCs w:val="24"/>
          <w:highlight w:val="none"/>
          <w:lang w:val="en-US" w:eastAsia="zh-CN"/>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4.拟派项目负责人1名，必须具备地质或水文地质或资源勘探类相关专业</w:t>
      </w:r>
      <w:r>
        <w:rPr>
          <w:rFonts w:hint="eastAsia" w:ascii="宋体" w:hAnsi="宋体" w:cs="宋体"/>
          <w:b w:val="0"/>
          <w:bCs w:val="0"/>
          <w:sz w:val="24"/>
          <w:szCs w:val="24"/>
          <w:highlight w:val="none"/>
          <w:lang w:val="en-US" w:eastAsia="zh-CN"/>
        </w:rPr>
        <w:t>学历（提供毕业证），且具备工程类</w:t>
      </w:r>
      <w:r>
        <w:rPr>
          <w:rFonts w:hint="eastAsia" w:ascii="宋体" w:hAnsi="宋体" w:eastAsia="宋体" w:cs="宋体"/>
          <w:b w:val="0"/>
          <w:bCs w:val="0"/>
          <w:sz w:val="24"/>
          <w:szCs w:val="24"/>
          <w:highlight w:val="none"/>
          <w:lang w:val="en-US" w:eastAsia="zh-CN"/>
        </w:rPr>
        <w:t>高级工程师资格</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职称资格证</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，并提供相关类似业绩证明（提供报告关键页）；编制人员3名，必须具备地质或水文地质或资源勘探类相关专业</w:t>
      </w:r>
      <w:r>
        <w:rPr>
          <w:rFonts w:hint="eastAsia" w:ascii="宋体" w:hAnsi="宋体" w:cs="宋体"/>
          <w:b w:val="0"/>
          <w:bCs w:val="0"/>
          <w:sz w:val="24"/>
          <w:szCs w:val="24"/>
          <w:highlight w:val="none"/>
          <w:lang w:val="en-US" w:eastAsia="zh-CN"/>
        </w:rPr>
        <w:t>学历（提供毕业证），且具备工程类</w:t>
      </w:r>
      <w:r>
        <w:rPr>
          <w:rFonts w:hint="eastAsia" w:ascii="宋体" w:hAnsi="宋体" w:eastAsia="宋体" w:cs="宋体"/>
          <w:b w:val="0"/>
          <w:bCs w:val="0"/>
          <w:sz w:val="24"/>
          <w:szCs w:val="24"/>
          <w:highlight w:val="none"/>
          <w:lang w:val="en-US" w:eastAsia="zh-CN"/>
        </w:rPr>
        <w:t>中级工程师资格</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职称资格证</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，并附上述人员名单、身份证、开标前近一年内连续六个月在本单位的社保缴纳证明。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朱俊宝  13593479414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398011791@qq.com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spacing w:line="360" w:lineRule="auto"/>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spacing w:line="360" w:lineRule="auto"/>
        <w:jc w:val="center"/>
        <w:rPr>
          <w:rFonts w:hint="eastAsia" w:ascii="宋体" w:hAnsi="宋体" w:cs="宋体"/>
          <w:sz w:val="28"/>
          <w:szCs w:val="28"/>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eastAsia="宋体" w:cs="宋体"/>
          <w:b w:val="0"/>
          <w:bCs w:val="0"/>
          <w:sz w:val="24"/>
          <w:szCs w:val="24"/>
          <w:highlight w:val="none"/>
          <w:lang w:eastAsia="zh-CN"/>
        </w:rPr>
      </w:pP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spacing w:line="360" w:lineRule="auto"/>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w:t>
      </w:r>
      <w:r>
        <w:rPr>
          <w:rFonts w:hint="eastAsia" w:ascii="宋体" w:hAnsi="宋体" w:cs="宋体"/>
          <w:b w:val="0"/>
          <w:bCs w:val="0"/>
          <w:sz w:val="24"/>
          <w:szCs w:val="24"/>
          <w:highlight w:val="none"/>
        </w:rPr>
        <w:t>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360" w:lineRule="auto"/>
        <w:rPr>
          <w:rFonts w:hint="eastAsia"/>
          <w:lang w:val="en-US" w:eastAsia="zh-CN"/>
        </w:rPr>
      </w:pPr>
    </w:p>
    <w:p>
      <w:pPr>
        <w:spacing w:line="360" w:lineRule="auto"/>
        <w:rPr>
          <w:rFonts w:hint="default"/>
          <w:lang w:val="en-US" w:eastAsia="zh-CN"/>
        </w:rPr>
      </w:pPr>
    </w:p>
    <w:p>
      <w:pPr>
        <w:spacing w:line="360" w:lineRule="auto"/>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360" w:lineRule="auto"/>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1.由于甲方原因导致乙方无法按时完成工作，经甲方书面同意，工作完成时间相应顺延。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2.合同生效后由于甲方原因终止合同，按照乙方所完成的工作量比例进行偿付服务费用。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乙方不得向第三方转包或分包本项目内容，否则甲方有权利单方解除合同不承担任何责任，对第三方所做工程量，甲方不支付任何费用，给甲方造成损失的，由乙方负责赔偿，并且甲方保留追究相关责任的权利。</w:t>
      </w:r>
    </w:p>
    <w:p>
      <w:pPr>
        <w:spacing w:line="360" w:lineRule="auto"/>
        <w:rPr>
          <w:rFonts w:hint="eastAsia" w:ascii="黑体" w:hAnsi="黑体" w:eastAsia="黑体" w:cs="黑体"/>
          <w:b w:val="0"/>
          <w:bCs w:val="0"/>
          <w:smallCaps/>
          <w:spacing w:val="14"/>
          <w:kern w:val="20"/>
          <w:highlight w:val="none"/>
          <w:lang w:eastAsia="zh-CN"/>
        </w:rPr>
      </w:pPr>
    </w:p>
    <w:p>
      <w:pPr>
        <w:pStyle w:val="16"/>
        <w:spacing w:line="360" w:lineRule="auto"/>
      </w:pPr>
    </w:p>
    <w:p>
      <w:pPr>
        <w:pStyle w:val="16"/>
        <w:spacing w:line="360" w:lineRule="auto"/>
      </w:pPr>
    </w:p>
    <w:p>
      <w:pPr>
        <w:pStyle w:val="16"/>
        <w:spacing w:line="360" w:lineRule="auto"/>
      </w:pPr>
    </w:p>
    <w:p>
      <w:pPr>
        <w:keepNext/>
        <w:keepLines/>
        <w:pageBreakBefore/>
        <w:numPr>
          <w:ilvl w:val="0"/>
          <w:numId w:val="6"/>
        </w:numPr>
        <w:spacing w:after="240" w:line="360" w:lineRule="auto"/>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《矿山隐蔽致灾因素普查方案》、《矿山隐蔽致灾因素普查治理报告》及《矿山隐蔽致灾因素治理效果评价报告》</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报价人在</w:t>
      </w:r>
      <w:r>
        <w:rPr>
          <w:rFonts w:hint="eastAsia" w:ascii="宋体" w:hAnsi="宋体" w:eastAsia="宋体" w:cs="宋体"/>
          <w:b w:val="0"/>
          <w:bCs w:val="0"/>
          <w:sz w:val="24"/>
          <w:szCs w:val="24"/>
          <w:highlight w:val="none"/>
          <w:lang w:val="en-US" w:eastAsia="zh-CN"/>
        </w:rPr>
        <w:t>矿山隐蔽致灾因素普查前，要根据3~5年生产规划，对照隐蔽致灾因素，评估矿山现有资料的完整性、准确性，并编制《矿山隐蔽致灾因素普查方案》，并报送平鲁区应急局审核备案。</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编制内容要符合《国家矿山安全监察局关于加强煤矿隐蔽致灾因素普查治理工作的通知》（矿安〔2022〕132号）、《矿山隐蔽致灾因素普查规范（征求意见稿）》、《煤矿地质工作细则》、《煤矿水害隐蔽致灾因素普查治理办法(试行)》(晋应急发[2023] 223 号)、</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关于进一步加强煤矿隐蔽致灾因素普查治理工作的通知</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（平应急字</w:t>
      </w:r>
      <w:r>
        <w:rPr>
          <w:rFonts w:hint="default" w:ascii="宋体" w:hAnsi="宋体" w:eastAsia="宋体" w:cs="宋体"/>
          <w:b w:val="0"/>
          <w:bCs w:val="0"/>
          <w:sz w:val="24"/>
          <w:szCs w:val="24"/>
          <w:highlight w:val="none"/>
          <w:lang w:val="en-US" w:eastAsia="zh-CN"/>
        </w:rPr>
        <w:t>〔202</w:t>
      </w:r>
      <w:r>
        <w:rPr>
          <w:rFonts w:hint="eastAsia" w:ascii="宋体" w:hAnsi="宋体" w:eastAsia="宋体" w:cs="宋体"/>
          <w:b w:val="0"/>
          <w:bCs w:val="0"/>
          <w:sz w:val="24"/>
          <w:szCs w:val="24"/>
          <w:highlight w:val="none"/>
          <w:lang w:val="en-US" w:eastAsia="zh-CN"/>
        </w:rPr>
        <w:t>3</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199</w:t>
      </w:r>
      <w:r>
        <w:rPr>
          <w:rFonts w:hint="default" w:ascii="宋体" w:hAnsi="宋体" w:eastAsia="宋体" w:cs="宋体"/>
          <w:b w:val="0"/>
          <w:bCs w:val="0"/>
          <w:sz w:val="24"/>
          <w:szCs w:val="24"/>
          <w:highlight w:val="none"/>
          <w:lang w:val="en-US" w:eastAsia="zh-CN"/>
        </w:rPr>
        <w:t>号</w:t>
      </w:r>
      <w:r>
        <w:rPr>
          <w:rFonts w:hint="eastAsia" w:ascii="宋体" w:hAnsi="宋体" w:eastAsia="宋体" w:cs="宋体"/>
          <w:b w:val="0"/>
          <w:bCs w:val="0"/>
          <w:sz w:val="24"/>
          <w:szCs w:val="24"/>
          <w:highlight w:val="none"/>
          <w:lang w:val="en-US" w:eastAsia="zh-CN"/>
        </w:rPr>
        <w:t>文）、《矿山隐蔽致灾因素普查工作流程》等文件要求及规定查清查明矿山隐蔽致灾因素。</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对矿井全面查清隐蔽致灾因素：井田内及周边采空区（含大面积悬顶）、废弃老窑(井筒)、封闭不良钻孔，断层、褶曲、陷落柱等地质构造，煤层及顶底板特征、地表河流(水)、地下含水体、导水裂隙带，瓦斯富集区，煤层自燃倾向性，井下火区(高温异常区)，古河床、冲刷带、风氧化带等不良地质体，地层应力集中区上覆遗留煤柱、离层空间、地表水体、油气及油气井、煤层气井、冲击地压危险性、岩浆岩侵入体、煤（岩）层风氧化带、火烧区、古隆起、暗河、溶洞、边坡稳定性</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等情况。</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报价人要</w:t>
      </w:r>
      <w:r>
        <w:rPr>
          <w:rFonts w:hint="eastAsia" w:ascii="宋体" w:hAnsi="宋体" w:eastAsia="宋体" w:cs="宋体"/>
          <w:b w:val="0"/>
          <w:bCs w:val="0"/>
          <w:sz w:val="24"/>
          <w:szCs w:val="24"/>
          <w:highlight w:val="none"/>
          <w:lang w:val="en-US" w:eastAsia="zh-CN"/>
        </w:rPr>
        <w:t>按照审核备案后的隐蔽致因素普查方案，开展普查工程或普查工作，并按照国家、省、市、区相关要求编制《矿山隐蔽致灾因素普查</w:t>
      </w:r>
      <w:r>
        <w:rPr>
          <w:rFonts w:hint="eastAsia" w:ascii="宋体" w:hAnsi="宋体" w:cs="宋体"/>
          <w:b w:val="0"/>
          <w:bCs w:val="0"/>
          <w:sz w:val="24"/>
          <w:szCs w:val="24"/>
          <w:highlight w:val="none"/>
          <w:lang w:val="en-US" w:eastAsia="zh-CN"/>
        </w:rPr>
        <w:t>治理</w:t>
      </w:r>
      <w:r>
        <w:rPr>
          <w:rFonts w:hint="eastAsia" w:ascii="宋体" w:hAnsi="宋体" w:eastAsia="宋体" w:cs="宋体"/>
          <w:b w:val="0"/>
          <w:bCs w:val="0"/>
          <w:sz w:val="24"/>
          <w:szCs w:val="24"/>
          <w:highlight w:val="none"/>
          <w:lang w:val="en-US" w:eastAsia="zh-CN"/>
        </w:rPr>
        <w:t>报告》</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《矿山隐蔽致灾因素普查</w:t>
      </w:r>
      <w:r>
        <w:rPr>
          <w:rFonts w:hint="eastAsia" w:ascii="宋体" w:hAnsi="宋体" w:cs="宋体"/>
          <w:b w:val="0"/>
          <w:bCs w:val="0"/>
          <w:sz w:val="24"/>
          <w:szCs w:val="24"/>
          <w:highlight w:val="none"/>
          <w:lang w:val="en-US" w:eastAsia="zh-CN"/>
        </w:rPr>
        <w:t>治理</w:t>
      </w:r>
      <w:r>
        <w:rPr>
          <w:rFonts w:hint="eastAsia" w:ascii="宋体" w:hAnsi="宋体" w:eastAsia="宋体" w:cs="宋体"/>
          <w:b w:val="0"/>
          <w:bCs w:val="0"/>
          <w:sz w:val="24"/>
          <w:szCs w:val="24"/>
          <w:highlight w:val="none"/>
          <w:lang w:val="en-US" w:eastAsia="zh-CN"/>
        </w:rPr>
        <w:t>报告》中应包含隐蔽致灾因素针对性治理方案，报价人对矿方的治理结果要进行治理效果评价，编制《矿山隐蔽致灾因素治理效果评价报告》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报价人提交的《矿山隐蔽致灾因素普查方案》、《矿山隐蔽致灾因素普查治理报告》及《矿山隐蔽致灾因素治理效果评价报告》要通过煤矿上级公司组织专家评审及批复、平鲁区应急局的审核备案，并承担评审期间的评审费等费用。</w:t>
      </w:r>
    </w:p>
    <w:p>
      <w:pPr>
        <w:keepNext/>
        <w:keepLines/>
        <w:pageBreakBefore/>
        <w:numPr>
          <w:ilvl w:val="0"/>
          <w:numId w:val="0"/>
        </w:numPr>
        <w:spacing w:after="240" w:line="360" w:lineRule="auto"/>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spacing w:line="360" w:lineRule="auto"/>
        <w:ind w:left="420"/>
        <w:rPr>
          <w:rFonts w:ascii="宋体"/>
          <w:b w:val="0"/>
          <w:bCs w:val="0"/>
          <w:sz w:val="28"/>
          <w:szCs w:val="28"/>
          <w:highlight w:val="none"/>
        </w:rPr>
      </w:pPr>
    </w:p>
    <w:p>
      <w:pPr>
        <w:tabs>
          <w:tab w:val="left" w:pos="1435"/>
        </w:tabs>
        <w:spacing w:line="360" w:lineRule="auto"/>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spacing w:line="360" w:lineRule="auto"/>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spacing w:line="360" w:lineRule="auto"/>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spacing w:line="360" w:lineRule="auto"/>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spacing w:line="360" w:lineRule="auto"/>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spacing w:line="360" w:lineRule="auto"/>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spacing w:line="360" w:lineRule="auto"/>
        <w:jc w:val="center"/>
        <w:rPr>
          <w:rFonts w:ascii="宋体"/>
          <w:highlight w:val="none"/>
        </w:rPr>
      </w:pPr>
    </w:p>
    <w:p>
      <w:pPr>
        <w:spacing w:line="360" w:lineRule="auto"/>
        <w:rPr>
          <w:rFonts w:ascii="宋体"/>
          <w:color w:val="7030A0"/>
          <w:sz w:val="24"/>
          <w:szCs w:val="24"/>
          <w:highlight w:val="none"/>
        </w:rPr>
      </w:pPr>
      <w:r>
        <w:rPr>
          <w:rFonts w:hint="eastAsia" w:ascii="宋体" w:hAnsi="宋体" w:cs="宋体"/>
          <w:color w:val="7030A0"/>
          <w:sz w:val="24"/>
          <w:szCs w:val="24"/>
          <w:highlight w:val="none"/>
        </w:rPr>
        <w:t>询价书名称：</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询价书编号：</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联系人：</w:t>
      </w:r>
    </w:p>
    <w:p>
      <w:pPr>
        <w:spacing w:line="360" w:lineRule="auto"/>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spacing w:line="360" w:lineRule="auto"/>
        <w:rPr>
          <w:highlight w:val="none"/>
        </w:rPr>
      </w:pPr>
    </w:p>
    <w:p>
      <w:pPr>
        <w:spacing w:line="360" w:lineRule="auto"/>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spacing w:line="360" w:lineRule="auto"/>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spacing w:line="360" w:lineRule="auto"/>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spacing w:line="360" w:lineRule="auto"/>
        <w:jc w:val="center"/>
        <w:rPr>
          <w:rFonts w:ascii="黑体" w:hAnsi="黑体" w:eastAsia="黑体"/>
          <w:b w:val="0"/>
          <w:bCs w:val="0"/>
          <w:sz w:val="72"/>
          <w:szCs w:val="72"/>
          <w:highlight w:val="none"/>
        </w:rPr>
      </w:pPr>
    </w:p>
    <w:p>
      <w:pPr>
        <w:spacing w:line="360" w:lineRule="auto"/>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spacing w:line="360" w:lineRule="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spacing w:line="360" w:lineRule="auto"/>
        <w:rPr>
          <w:rFonts w:hint="default"/>
          <w:lang w:val="en-US" w:eastAsia="zh-CN"/>
        </w:rPr>
      </w:pPr>
      <w:r>
        <w:rPr>
          <w:rFonts w:hint="eastAsia" w:ascii="仿宋_GB2312" w:eastAsia="仿宋_GB2312"/>
          <w:sz w:val="28"/>
          <w:szCs w:val="28"/>
          <w:highlight w:val="none"/>
          <w:lang w:val="en-US" w:eastAsia="zh-CN"/>
        </w:rPr>
        <w:t xml:space="preserve">                      联系电话：</w:t>
      </w: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autoSpaceDE w:val="0"/>
        <w:autoSpaceDN w:val="0"/>
        <w:adjustRightInd w:val="0"/>
        <w:spacing w:line="360" w:lineRule="auto"/>
        <w:jc w:val="left"/>
        <w:rPr>
          <w:rFonts w:ascii="宋体"/>
          <w:b w:val="0"/>
          <w:bCs w:val="0"/>
          <w:highlight w:val="none"/>
        </w:rPr>
      </w:pPr>
    </w:p>
    <w:p>
      <w:pPr>
        <w:autoSpaceDE w:val="0"/>
        <w:autoSpaceDN w:val="0"/>
        <w:adjustRightInd w:val="0"/>
        <w:spacing w:line="360" w:lineRule="auto"/>
        <w:jc w:val="left"/>
        <w:rPr>
          <w:rFonts w:ascii="宋体"/>
          <w:b w:val="0"/>
          <w:bCs w:val="0"/>
          <w:highlight w:val="none"/>
        </w:rPr>
      </w:pPr>
    </w:p>
    <w:p>
      <w:pPr>
        <w:spacing w:line="360" w:lineRule="auto"/>
        <w:jc w:val="center"/>
        <w:rPr>
          <w:rFonts w:ascii="宋体"/>
          <w:b w:val="0"/>
          <w:bCs w:val="0"/>
          <w:highlight w:val="none"/>
        </w:rPr>
      </w:pPr>
    </w:p>
    <w:p>
      <w:pPr>
        <w:spacing w:line="360" w:lineRule="auto"/>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spacing w:line="360" w:lineRule="auto"/>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both"/>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highlight w:val="none"/>
        </w:rPr>
      </w:pPr>
      <w:r>
        <w:rPr>
          <w:rFonts w:hint="eastAsia" w:ascii="宋体" w:hAnsi="宋体" w:cs="宋体"/>
          <w:b w:val="0"/>
          <w:bCs w:val="0"/>
          <w:sz w:val="28"/>
          <w:szCs w:val="28"/>
          <w:highlight w:val="none"/>
        </w:rPr>
        <w:t>日期：</w:t>
      </w:r>
    </w:p>
    <w:p>
      <w:pPr>
        <w:pStyle w:val="19"/>
        <w:spacing w:line="360" w:lineRule="auto"/>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spacing w:line="360" w:lineRule="auto"/>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spacing w:line="360" w:lineRule="auto"/>
              <w:rPr>
                <w:rFonts w:ascii="宋体" w:hAnsi="宋体" w:cs="宋体"/>
                <w:b w:val="0"/>
                <w:bCs w:val="0"/>
                <w:sz w:val="24"/>
                <w:szCs w:val="24"/>
                <w:highlight w:val="none"/>
              </w:rPr>
            </w:pPr>
          </w:p>
        </w:tc>
        <w:tc>
          <w:tcPr>
            <w:tcW w:w="1871" w:type="dxa"/>
          </w:tcPr>
          <w:p>
            <w:pPr>
              <w:spacing w:line="360" w:lineRule="auto"/>
              <w:rPr>
                <w:rFonts w:ascii="宋体" w:hAnsi="宋体" w:cs="宋体"/>
                <w:b w:val="0"/>
                <w:bCs w:val="0"/>
                <w:sz w:val="24"/>
                <w:szCs w:val="24"/>
                <w:highlight w:val="none"/>
              </w:rPr>
            </w:pPr>
          </w:p>
        </w:tc>
        <w:tc>
          <w:tcPr>
            <w:tcW w:w="4465" w:type="dxa"/>
          </w:tcPr>
          <w:p>
            <w:pPr>
              <w:spacing w:line="360" w:lineRule="auto"/>
              <w:rPr>
                <w:rFonts w:ascii="宋体" w:hAnsi="宋体" w:cs="宋体"/>
                <w:b w:val="0"/>
                <w:bCs w:val="0"/>
                <w:sz w:val="24"/>
                <w:szCs w:val="24"/>
                <w:highlight w:val="none"/>
              </w:rPr>
            </w:pPr>
          </w:p>
        </w:tc>
        <w:tc>
          <w:tcPr>
            <w:tcW w:w="2130" w:type="dxa"/>
          </w:tcPr>
          <w:p>
            <w:pPr>
              <w:spacing w:line="360" w:lineRule="auto"/>
              <w:rPr>
                <w:rFonts w:ascii="宋体" w:hAnsi="宋体" w:cs="宋体"/>
                <w:b w:val="0"/>
                <w:bCs w:val="0"/>
                <w:sz w:val="24"/>
                <w:szCs w:val="24"/>
                <w:highlight w:val="none"/>
              </w:rPr>
            </w:pPr>
          </w:p>
        </w:tc>
        <w:tc>
          <w:tcPr>
            <w:tcW w:w="1800" w:type="dxa"/>
          </w:tcPr>
          <w:p>
            <w:pPr>
              <w:spacing w:line="360" w:lineRule="auto"/>
              <w:rPr>
                <w:rFonts w:ascii="宋体" w:hAnsi="宋体" w:cs="宋体"/>
                <w:b w:val="0"/>
                <w:bCs w:val="0"/>
                <w:sz w:val="24"/>
                <w:szCs w:val="24"/>
                <w:highlight w:val="none"/>
              </w:rPr>
            </w:pPr>
          </w:p>
        </w:tc>
        <w:tc>
          <w:tcPr>
            <w:tcW w:w="1694" w:type="dxa"/>
          </w:tcPr>
          <w:p>
            <w:pPr>
              <w:spacing w:line="360" w:lineRule="auto"/>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line="360" w:lineRule="auto"/>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spacing w:line="360" w:lineRule="auto"/>
        <w:rPr>
          <w:rFonts w:ascii="宋体" w:hAnsi="宋体" w:cs="宋体"/>
          <w:b/>
          <w:bCs/>
          <w:szCs w:val="30"/>
          <w:highlight w:val="none"/>
        </w:rPr>
      </w:pPr>
    </w:p>
    <w:p>
      <w:pPr>
        <w:numPr>
          <w:ilvl w:val="0"/>
          <w:numId w:val="9"/>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360"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360"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360" w:lineRule="auto"/>
              <w:jc w:val="center"/>
              <w:rPr>
                <w:rFonts w:hint="eastAsia"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center"/>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p>
        </w:tc>
        <w:tc>
          <w:tcPr>
            <w:tcW w:w="3061" w:type="dxa"/>
            <w:noWrap w:val="0"/>
            <w:vAlign w:val="top"/>
          </w:tcPr>
          <w:p>
            <w:pPr>
              <w:spacing w:line="360" w:lineRule="auto"/>
              <w:jc w:val="center"/>
              <w:rPr>
                <w:rFonts w:hint="eastAsia"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center"/>
          </w:tcPr>
          <w:p>
            <w:pPr>
              <w:spacing w:line="360" w:lineRule="auto"/>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spacing w:line="360" w:lineRule="auto"/>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spacing w:line="360" w:lineRule="auto"/>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line="360" w:lineRule="auto"/>
        <w:jc w:val="both"/>
        <w:rPr>
          <w:rFonts w:ascii="宋体" w:hAnsi="宋体" w:eastAsia="宋体" w:cs="Times New Roman"/>
          <w:sz w:val="21"/>
          <w:szCs w:val="21"/>
          <w:highlight w:val="none"/>
        </w:rPr>
      </w:pPr>
    </w:p>
    <w:p>
      <w:pPr>
        <w:spacing w:line="360" w:lineRule="auto"/>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spacing w:line="360" w:lineRule="auto"/>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spacing w:line="360" w:lineRule="auto"/>
              <w:rPr>
                <w:rFonts w:ascii="宋体"/>
                <w:b w:val="0"/>
                <w:bCs w:val="0"/>
                <w:sz w:val="21"/>
                <w:szCs w:val="21"/>
                <w:highlight w:val="none"/>
              </w:rPr>
            </w:pPr>
          </w:p>
        </w:tc>
        <w:tc>
          <w:tcPr>
            <w:tcW w:w="1747" w:type="dxa"/>
            <w:tcBorders>
              <w:bottom w:val="double" w:color="auto" w:sz="6" w:space="0"/>
            </w:tcBorders>
          </w:tcPr>
          <w:p>
            <w:pPr>
              <w:adjustRightInd w:val="0"/>
              <w:spacing w:line="360" w:lineRule="auto"/>
              <w:rPr>
                <w:rFonts w:ascii="宋体"/>
                <w:b w:val="0"/>
                <w:bCs w:val="0"/>
                <w:sz w:val="21"/>
                <w:szCs w:val="21"/>
                <w:highlight w:val="none"/>
              </w:rPr>
            </w:pPr>
          </w:p>
        </w:tc>
        <w:tc>
          <w:tcPr>
            <w:tcW w:w="1481" w:type="dxa"/>
            <w:tcBorders>
              <w:bottom w:val="double" w:color="auto" w:sz="6" w:space="0"/>
            </w:tcBorders>
          </w:tcPr>
          <w:p>
            <w:pPr>
              <w:adjustRightInd w:val="0"/>
              <w:spacing w:line="360" w:lineRule="auto"/>
              <w:rPr>
                <w:rFonts w:ascii="宋体"/>
                <w:b w:val="0"/>
                <w:bCs w:val="0"/>
                <w:sz w:val="21"/>
                <w:szCs w:val="21"/>
                <w:highlight w:val="none"/>
              </w:rPr>
            </w:pPr>
          </w:p>
        </w:tc>
        <w:tc>
          <w:tcPr>
            <w:tcW w:w="1515" w:type="dxa"/>
            <w:tcBorders>
              <w:bottom w:val="double" w:color="auto" w:sz="6" w:space="0"/>
            </w:tcBorders>
          </w:tcPr>
          <w:p>
            <w:pPr>
              <w:adjustRightInd w:val="0"/>
              <w:spacing w:line="360" w:lineRule="auto"/>
              <w:rPr>
                <w:rFonts w:ascii="宋体"/>
                <w:b w:val="0"/>
                <w:bCs w:val="0"/>
                <w:sz w:val="21"/>
                <w:szCs w:val="21"/>
                <w:highlight w:val="none"/>
              </w:rPr>
            </w:pPr>
          </w:p>
        </w:tc>
        <w:tc>
          <w:tcPr>
            <w:tcW w:w="1206" w:type="dxa"/>
            <w:tcBorders>
              <w:bottom w:val="double" w:color="auto" w:sz="6" w:space="0"/>
            </w:tcBorders>
          </w:tcPr>
          <w:p>
            <w:pPr>
              <w:adjustRightInd w:val="0"/>
              <w:spacing w:line="360" w:lineRule="auto"/>
              <w:rPr>
                <w:rFonts w:ascii="宋体"/>
                <w:b w:val="0"/>
                <w:bCs w:val="0"/>
                <w:sz w:val="21"/>
                <w:szCs w:val="21"/>
                <w:highlight w:val="none"/>
              </w:rPr>
            </w:pPr>
          </w:p>
        </w:tc>
        <w:tc>
          <w:tcPr>
            <w:tcW w:w="2163" w:type="dxa"/>
            <w:tcBorders>
              <w:bottom w:val="double" w:color="auto" w:sz="6" w:space="0"/>
            </w:tcBorders>
          </w:tcPr>
          <w:p>
            <w:pPr>
              <w:adjustRightInd w:val="0"/>
              <w:spacing w:line="360" w:lineRule="auto"/>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pStyle w:val="19"/>
        <w:spacing w:line="360" w:lineRule="auto"/>
        <w:rPr>
          <w:highlight w:val="none"/>
        </w:rPr>
      </w:pPr>
    </w:p>
    <w:p>
      <w:pPr>
        <w:pStyle w:val="19"/>
        <w:spacing w:line="360" w:lineRule="auto"/>
        <w:rPr>
          <w:highlight w:val="none"/>
        </w:rPr>
      </w:pPr>
    </w:p>
    <w:p>
      <w:pPr>
        <w:numPr>
          <w:ilvl w:val="0"/>
          <w:numId w:val="10"/>
        </w:numPr>
        <w:tabs>
          <w:tab w:val="left" w:pos="1435"/>
        </w:tabs>
        <w:spacing w:line="360" w:lineRule="auto"/>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spacing w:line="360" w:lineRule="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eastAsia="zh-CN"/>
        </w:rPr>
        <w:t>附</w:t>
      </w:r>
      <w:r>
        <w:rPr>
          <w:rFonts w:hint="eastAsia" w:ascii="宋体" w:hAnsi="宋体" w:cs="宋体"/>
          <w:b w:val="0"/>
          <w:bCs w:val="0"/>
          <w:sz w:val="28"/>
          <w:szCs w:val="28"/>
          <w:highlight w:val="none"/>
          <w:lang w:val="en-US" w:eastAsia="zh-CN"/>
        </w:rPr>
        <w:t>与中煤集团山西华昱能源有限公司不存在未解决的各类纠纷的承诺函（格式自拟）。</w:t>
      </w:r>
    </w:p>
    <w:p>
      <w:pPr>
        <w:pStyle w:val="16"/>
        <w:spacing w:line="360" w:lineRule="auto"/>
        <w:rPr>
          <w:rFonts w:hint="eastAsia" w:ascii="宋体" w:hAnsi="宋体" w:cs="宋体"/>
          <w:sz w:val="32"/>
          <w:szCs w:val="32"/>
          <w:highlight w:val="none"/>
        </w:rPr>
      </w:pPr>
    </w:p>
    <w:p>
      <w:pPr>
        <w:spacing w:line="360" w:lineRule="auto"/>
        <w:rPr>
          <w:rFonts w:hint="eastAsia"/>
          <w:highlight w:val="none"/>
        </w:rPr>
      </w:pPr>
    </w:p>
    <w:p>
      <w:pPr>
        <w:pStyle w:val="16"/>
        <w:spacing w:line="360" w:lineRule="auto"/>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spacing w:line="360" w:lineRule="auto"/>
        <w:rPr>
          <w:highlight w:val="none"/>
        </w:rPr>
      </w:pPr>
      <w:r>
        <w:rPr>
          <w:rFonts w:hint="eastAsia"/>
          <w:highlight w:val="none"/>
          <w:lang w:val="en-US" w:eastAsia="zh-CN"/>
        </w:rPr>
        <w:t xml:space="preserve">                    </w:t>
      </w:r>
    </w:p>
    <w:p>
      <w:pPr>
        <w:tabs>
          <w:tab w:val="left" w:pos="425"/>
        </w:tabs>
        <w:spacing w:line="360" w:lineRule="auto"/>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spacing w:line="360" w:lineRule="auto"/>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spacing w:line="360" w:lineRule="auto"/>
        <w:ind w:left="1049" w:hanging="1049"/>
        <w:jc w:val="center"/>
        <w:rPr>
          <w:rFonts w:ascii="宋体"/>
          <w:highlight w:val="none"/>
        </w:rPr>
      </w:pPr>
      <w:r>
        <w:rPr>
          <w:rFonts w:hint="eastAsia" w:ascii="宋体" w:hAnsi="宋体" w:cs="宋体"/>
          <w:highlight w:val="none"/>
        </w:rPr>
        <w:t>业绩（格式）</w:t>
      </w:r>
    </w:p>
    <w:p>
      <w:pPr>
        <w:spacing w:line="360" w:lineRule="auto"/>
        <w:ind w:left="1260" w:hanging="1050"/>
        <w:jc w:val="center"/>
        <w:rPr>
          <w:rFonts w:ascii="宋体"/>
          <w:b w:val="0"/>
          <w:bCs w:val="0"/>
          <w:sz w:val="32"/>
          <w:szCs w:val="32"/>
          <w:highlight w:val="none"/>
        </w:rPr>
      </w:pPr>
    </w:p>
    <w:p>
      <w:pPr>
        <w:spacing w:line="360" w:lineRule="auto"/>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spacing w:line="360" w:lineRule="auto"/>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spacing w:line="360" w:lineRule="auto"/>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spacing w:line="360" w:lineRule="auto"/>
              <w:jc w:val="center"/>
              <w:rPr>
                <w:rFonts w:ascii="宋体"/>
                <w:sz w:val="24"/>
                <w:szCs w:val="24"/>
                <w:highlight w:val="none"/>
              </w:rPr>
            </w:pPr>
            <w:r>
              <w:rPr>
                <w:rFonts w:hint="eastAsia" w:ascii="宋体" w:hAnsi="宋体" w:cs="宋体"/>
                <w:sz w:val="24"/>
                <w:szCs w:val="24"/>
                <w:highlight w:val="none"/>
              </w:rPr>
              <w:t>序号</w:t>
            </w:r>
          </w:p>
          <w:p>
            <w:pPr>
              <w:spacing w:line="360" w:lineRule="auto"/>
              <w:jc w:val="center"/>
              <w:rPr>
                <w:rFonts w:ascii="宋体"/>
                <w:sz w:val="24"/>
                <w:szCs w:val="24"/>
                <w:highlight w:val="none"/>
              </w:rPr>
            </w:pPr>
          </w:p>
        </w:tc>
        <w:tc>
          <w:tcPr>
            <w:tcW w:w="1575"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bl>
    <w:p>
      <w:pPr>
        <w:spacing w:line="360" w:lineRule="auto"/>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spacing w:line="360" w:lineRule="auto"/>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widowControl/>
        <w:spacing w:line="360" w:lineRule="auto"/>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spacing w:line="360" w:lineRule="auto"/>
        <w:jc w:val="center"/>
        <w:rPr>
          <w:rFonts w:ascii="宋体" w:hAnsi="宋体" w:cs="宋体"/>
          <w:b w:val="0"/>
          <w:highlight w:val="none"/>
        </w:rPr>
      </w:pPr>
      <w:r>
        <w:rPr>
          <w:rFonts w:hint="eastAsia" w:ascii="宋体" w:hAnsi="宋体" w:cs="宋体"/>
          <w:b w:val="0"/>
          <w:highlight w:val="none"/>
        </w:rPr>
        <w:t>供应商廉洁承诺书（格式）</w:t>
      </w:r>
    </w:p>
    <w:p>
      <w:pPr>
        <w:widowControl/>
        <w:spacing w:line="360" w:lineRule="auto"/>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spacing w:line="360" w:lineRule="auto"/>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spacing w:line="360" w:lineRule="auto"/>
        <w:jc w:val="both"/>
        <w:rPr>
          <w:rFonts w:hint="eastAsia"/>
          <w:highlight w:val="none"/>
          <w:lang w:val="en-US" w:eastAsia="zh-CN"/>
        </w:rPr>
      </w:pPr>
      <w:r>
        <w:rPr>
          <w:rFonts w:hint="eastAsia"/>
          <w:highlight w:val="none"/>
          <w:lang w:val="en-US" w:eastAsia="zh-CN"/>
        </w:rPr>
        <w:tab/>
      </w:r>
    </w:p>
    <w:p>
      <w:pPr>
        <w:spacing w:line="360" w:lineRule="auto"/>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zU2Y2I2ODAyZTVlZTU2ZTM3YzYyZTNjYTMwZD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5DD2AFF"/>
    <w:rsid w:val="061C36BA"/>
    <w:rsid w:val="06971860"/>
    <w:rsid w:val="08321601"/>
    <w:rsid w:val="08A8480D"/>
    <w:rsid w:val="09352049"/>
    <w:rsid w:val="0A912D3C"/>
    <w:rsid w:val="0B440B42"/>
    <w:rsid w:val="0BCA33E7"/>
    <w:rsid w:val="0BF508B4"/>
    <w:rsid w:val="0C215F5C"/>
    <w:rsid w:val="0C297F82"/>
    <w:rsid w:val="0C540FAF"/>
    <w:rsid w:val="0CBF3D62"/>
    <w:rsid w:val="0E90018E"/>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3897B2F"/>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2B3F1A"/>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9E3D66"/>
    <w:rsid w:val="44DE4F77"/>
    <w:rsid w:val="45570670"/>
    <w:rsid w:val="45AB55EF"/>
    <w:rsid w:val="45D343C8"/>
    <w:rsid w:val="464016F5"/>
    <w:rsid w:val="465F362C"/>
    <w:rsid w:val="46B83B2F"/>
    <w:rsid w:val="46CD09A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5203E3"/>
    <w:rsid w:val="55630A4E"/>
    <w:rsid w:val="557737BB"/>
    <w:rsid w:val="562C37FD"/>
    <w:rsid w:val="56366F6D"/>
    <w:rsid w:val="565C396B"/>
    <w:rsid w:val="59111EFF"/>
    <w:rsid w:val="593C1BF8"/>
    <w:rsid w:val="5A955591"/>
    <w:rsid w:val="5AA9404F"/>
    <w:rsid w:val="5B117071"/>
    <w:rsid w:val="5B260D65"/>
    <w:rsid w:val="5B407C18"/>
    <w:rsid w:val="5B620E84"/>
    <w:rsid w:val="5C1826C3"/>
    <w:rsid w:val="5C411365"/>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4E76C5E"/>
    <w:rsid w:val="65244228"/>
    <w:rsid w:val="65843D37"/>
    <w:rsid w:val="65F85CC4"/>
    <w:rsid w:val="67431B96"/>
    <w:rsid w:val="67C972BA"/>
    <w:rsid w:val="68767A8D"/>
    <w:rsid w:val="68F4010F"/>
    <w:rsid w:val="692E0A4B"/>
    <w:rsid w:val="69B5367B"/>
    <w:rsid w:val="69CE664B"/>
    <w:rsid w:val="6A4D6295"/>
    <w:rsid w:val="6AA36C78"/>
    <w:rsid w:val="6AC55259"/>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9D21AE"/>
    <w:rsid w:val="72A92AFC"/>
    <w:rsid w:val="72AA5F3A"/>
    <w:rsid w:val="72B10F39"/>
    <w:rsid w:val="73137F9A"/>
    <w:rsid w:val="733E6E4D"/>
    <w:rsid w:val="7360062E"/>
    <w:rsid w:val="73BD08B4"/>
    <w:rsid w:val="74826C48"/>
    <w:rsid w:val="74A756F2"/>
    <w:rsid w:val="74F710CB"/>
    <w:rsid w:val="750E0A19"/>
    <w:rsid w:val="757C1CC4"/>
    <w:rsid w:val="7583593C"/>
    <w:rsid w:val="75B51DBC"/>
    <w:rsid w:val="76362AC9"/>
    <w:rsid w:val="76ED6DFD"/>
    <w:rsid w:val="773C0385"/>
    <w:rsid w:val="78100551"/>
    <w:rsid w:val="78877AD1"/>
    <w:rsid w:val="793F533F"/>
    <w:rsid w:val="7A380A89"/>
    <w:rsid w:val="7ABE1DA4"/>
    <w:rsid w:val="7AC86BCE"/>
    <w:rsid w:val="7B2C12FD"/>
    <w:rsid w:val="7B416699"/>
    <w:rsid w:val="7B4E5E04"/>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5547</Words>
  <Characters>5794</Characters>
  <Lines>56</Lines>
  <Paragraphs>16</Paragraphs>
  <TotalTime>10</TotalTime>
  <ScaleCrop>false</ScaleCrop>
  <LinksUpToDate>false</LinksUpToDate>
  <CharactersWithSpaces>6383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2024-03-29T00:02:00Z</cp:lastPrinted>
  <dcterms:modified xsi:type="dcterms:W3CDTF">2024-04-22T06:58:12Z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BF9A70539F50457E90769E97D2565C0D_13</vt:lpwstr>
  </property>
</Properties>
</file>