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napToGrid w:val="0"/>
        <w:spacing w:before="120" w:after="120"/>
        <w:jc w:val="center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</w:pPr>
      <w:bookmarkStart w:id="0" w:name="_Toc478736677"/>
      <w:bookmarkStart w:id="1" w:name="_Toc405303171"/>
      <w:bookmarkStart w:id="2" w:name="_Toc405303172"/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  <w:t>谈判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  <w:t>办法</w:t>
      </w:r>
      <w:bookmarkEnd w:id="0"/>
      <w:bookmarkEnd w:id="1"/>
    </w:p>
    <w:p>
      <w:pPr>
        <w:pStyle w:val="7"/>
        <w:numPr>
          <w:ilvl w:val="0"/>
          <w:numId w:val="0"/>
        </w:numPr>
        <w:snapToGrid w:val="0"/>
        <w:ind w:leftChars="0"/>
        <w:rPr>
          <w:rFonts w:hint="eastAsia"/>
          <w:color w:val="auto"/>
          <w:sz w:val="21"/>
          <w:szCs w:val="21"/>
          <w:highlight w:val="none"/>
        </w:rPr>
      </w:pPr>
      <w:bookmarkStart w:id="3" w:name="_Toc478736678"/>
      <w:r>
        <w:rPr>
          <w:rFonts w:hint="eastAsia"/>
          <w:color w:val="auto"/>
          <w:sz w:val="21"/>
          <w:szCs w:val="21"/>
          <w:highlight w:val="none"/>
          <w:lang w:eastAsia="zh-CN"/>
        </w:rPr>
        <w:t>一、</w:t>
      </w:r>
      <w:r>
        <w:rPr>
          <w:rFonts w:hint="eastAsia"/>
          <w:color w:val="auto"/>
          <w:sz w:val="21"/>
          <w:szCs w:val="21"/>
          <w:highlight w:val="none"/>
        </w:rPr>
        <w:t>总则</w:t>
      </w:r>
      <w:bookmarkEnd w:id="2"/>
      <w:bookmarkEnd w:id="3"/>
    </w:p>
    <w:p>
      <w:pPr>
        <w:adjustRightInd w:val="0"/>
        <w:snapToGrid w:val="0"/>
        <w:spacing w:line="360" w:lineRule="auto"/>
        <w:rPr>
          <w:rFonts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本办法依据《中华人民共和国招标投标法》、《中华人民共和国招标投标法实施条例》、《评标委员会和评标办法暂行规定》（2001年第12号令）以及其它相关法律、法规制定。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本办法仅适用于本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项目的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本办法以公平、公正、科学、择优为原则。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本办法采用综合评估法。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5.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参加本次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的所有人员均须严格遵守有关保密纪律，凡属与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有关的信息，都不应向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人或与该过程无公务关系的其他人泄露。任何单位和个人不得非法干预或者影响评标过程和结果。</w:t>
      </w:r>
    </w:p>
    <w:p>
      <w:pPr>
        <w:widowControl/>
        <w:snapToGrid w:val="0"/>
        <w:spacing w:line="360" w:lineRule="auto"/>
        <w:rPr>
          <w:rFonts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6.谈判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委员会完成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后，应当向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人提出书面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报告。</w:t>
      </w:r>
    </w:p>
    <w:p>
      <w:pPr>
        <w:pStyle w:val="7"/>
        <w:numPr>
          <w:ilvl w:val="0"/>
          <w:numId w:val="0"/>
        </w:numPr>
        <w:snapToGrid w:val="0"/>
        <w:ind w:leftChars="0"/>
        <w:rPr>
          <w:rFonts w:hint="eastAsia"/>
          <w:color w:val="auto"/>
          <w:sz w:val="21"/>
          <w:szCs w:val="21"/>
          <w:highlight w:val="none"/>
        </w:rPr>
      </w:pPr>
      <w:bookmarkStart w:id="4" w:name="_Toc405303173"/>
      <w:bookmarkStart w:id="5" w:name="_Toc478736679"/>
      <w:r>
        <w:rPr>
          <w:rFonts w:hint="eastAsia"/>
          <w:color w:val="auto"/>
          <w:sz w:val="21"/>
          <w:szCs w:val="21"/>
          <w:highlight w:val="none"/>
          <w:lang w:eastAsia="zh-CN"/>
        </w:rPr>
        <w:t>二、谈判</w:t>
      </w:r>
      <w:r>
        <w:rPr>
          <w:rFonts w:hint="eastAsia"/>
          <w:color w:val="auto"/>
          <w:sz w:val="21"/>
          <w:szCs w:val="21"/>
          <w:highlight w:val="none"/>
        </w:rPr>
        <w:t>委员会</w:t>
      </w:r>
      <w:bookmarkEnd w:id="4"/>
      <w:bookmarkEnd w:id="5"/>
    </w:p>
    <w:p>
      <w:pPr>
        <w:pStyle w:val="5"/>
        <w:adjustRightInd w:val="0"/>
        <w:snapToGrid w:val="0"/>
        <w:rPr>
          <w:rFonts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1.谈判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人依法组建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活动由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委员会负责，向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人推荐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成交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候选人。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2.谈判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委员会由招标人代表，以及有关技术、经济等方面的专家组成，成员人数为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三人或以上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单数，其中技术、经济等方面的专家不得少于成员总数的三分之二。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委员会设负责人的，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委员会负责人由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委员会成员推举产生或者由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人确定。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3.谈判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委员会成员应当客观、公正地履行职责，遵守职业道德，对所提出的评审意见承担个人责任。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委员会成员不得与任何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人或者与招标结果有利害关系的人进行私下接触，不得收受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谈判响应人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人、中介人、其他利害关系人的财物或者其他好处。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委员会成员独立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，任何人不得通过任何方式，干扰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委员会的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。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4.谈判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委员会成员有下列情形之一的，应当回避：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人或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谈判响应人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的主要负责人的近亲属；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项目主管部门或者行政监督部门的人员；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与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谈判响应人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人有经济利益关系，可能影响对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公正评审的；</w:t>
      </w:r>
    </w:p>
    <w:p>
      <w:pPr>
        <w:pStyle w:val="5"/>
        <w:adjustRightInd w:val="0"/>
        <w:snapToGrid w:val="0"/>
        <w:rPr>
          <w:rFonts w:hint="eastAsia"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曾因在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竞争性谈判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以及其他与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竞争性谈判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有关活动中从事违法行为而受过行政处罚或刑事处罚的。</w:t>
      </w:r>
    </w:p>
    <w:p>
      <w:pPr>
        <w:pStyle w:val="5"/>
        <w:adjustRightInd w:val="0"/>
        <w:snapToGrid w:val="0"/>
        <w:rPr>
          <w:rFonts w:hAnsi="宋体" w:cs="Arial"/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与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人有其他利害关系。</w:t>
      </w:r>
    </w:p>
    <w:p>
      <w:pPr>
        <w:pStyle w:val="7"/>
        <w:numPr>
          <w:ilvl w:val="0"/>
          <w:numId w:val="0"/>
        </w:numPr>
        <w:snapToGrid w:val="0"/>
        <w:ind w:leftChars="0"/>
        <w:rPr>
          <w:rFonts w:hint="eastAsia"/>
          <w:color w:val="auto"/>
          <w:sz w:val="21"/>
          <w:szCs w:val="21"/>
          <w:highlight w:val="none"/>
        </w:rPr>
      </w:pPr>
      <w:bookmarkStart w:id="6" w:name="_Toc478736680"/>
      <w:bookmarkStart w:id="7" w:name="_Toc405303174"/>
      <w:r>
        <w:rPr>
          <w:rFonts w:hint="eastAsia"/>
          <w:color w:val="auto"/>
          <w:sz w:val="21"/>
          <w:szCs w:val="21"/>
          <w:highlight w:val="none"/>
          <w:lang w:eastAsia="zh-CN"/>
        </w:rPr>
        <w:t>三、谈判</w:t>
      </w:r>
      <w:r>
        <w:rPr>
          <w:rFonts w:hint="eastAsia"/>
          <w:color w:val="auto"/>
          <w:sz w:val="21"/>
          <w:szCs w:val="21"/>
          <w:highlight w:val="none"/>
        </w:rPr>
        <w:t>程序</w:t>
      </w:r>
      <w:bookmarkEnd w:id="6"/>
      <w:bookmarkEnd w:id="7"/>
    </w:p>
    <w:p>
      <w:pPr>
        <w:pStyle w:val="5"/>
        <w:adjustRightInd w:val="0"/>
        <w:snapToGrid w:val="0"/>
        <w:jc w:val="left"/>
        <w:rPr>
          <w:rFonts w:hint="eastAsia" w:hAnsi="宋体" w:eastAsia="宋体" w:cs="Arial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hAnsi="宋体" w:cs="Arial"/>
          <w:b/>
          <w:bCs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eastAsia" w:hAnsi="宋体" w:cs="Arial"/>
          <w:b/>
          <w:bCs/>
          <w:color w:val="auto"/>
          <w:sz w:val="21"/>
          <w:szCs w:val="21"/>
          <w:highlight w:val="none"/>
        </w:rPr>
        <w:t>初步</w:t>
      </w:r>
      <w:r>
        <w:rPr>
          <w:rFonts w:hint="eastAsia" w:hAnsi="宋体" w:cs="Arial"/>
          <w:b/>
          <w:bCs/>
          <w:color w:val="auto"/>
          <w:sz w:val="21"/>
          <w:szCs w:val="21"/>
          <w:highlight w:val="none"/>
          <w:lang w:eastAsia="zh-CN"/>
        </w:rPr>
        <w:t>谈判</w:t>
      </w:r>
    </w:p>
    <w:p>
      <w:pPr>
        <w:pStyle w:val="5"/>
        <w:adjustRightInd w:val="0"/>
        <w:snapToGrid w:val="0"/>
        <w:rPr>
          <w:rStyle w:val="10"/>
          <w:rFonts w:hint="eastAsia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委员会应当根据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文件规定的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标准和方法，对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文件进行系统地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和比较。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文件中没有规定的标准和方法不得作为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的依据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127"/>
        <w:jc w:val="left"/>
        <w:rPr>
          <w:rStyle w:val="10"/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委员会应当审查每一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文件是否对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文件提出的所有实质性要求和条件作出响应。未能在实质上响应的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谈判文件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将被否决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2"/>
        <w:jc w:val="left"/>
        <w:rPr>
          <w:rStyle w:val="10"/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在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过程中，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委员会发现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人的报价明显低于其他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报价或者在设有标底时明显低于标底，使得其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报价可能低于其个别成本的，应当要求该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人作出书面说明并提供相关证明材料。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人不能合理说明或者不能提供相关证明材料的，由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委员会认定该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人以低于成本报价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，其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谈判响应文件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将被否决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2"/>
        <w:jc w:val="left"/>
        <w:rPr>
          <w:rStyle w:val="10"/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委员会可以书面方式要求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文件中含义不明确、不一致或者有明显文字和计算错误的内容作必要的澄清、说明或者补正，澄清、说明或者补正应以书面方式进行并不得超出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文件的范围或者改变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文件的实质性内容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2"/>
        <w:jc w:val="left"/>
        <w:rPr>
          <w:rStyle w:val="10"/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文件中的大写金额和小写金额不一致的，以大写金额为准；总价金额与单价金额不一致的，以单价金额为准，但单价金额小数点有明显错误的除外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adjustRightInd w:val="0"/>
        <w:snapToGrid w:val="0"/>
        <w:rPr>
          <w:rFonts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cs="Arial"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人有下列情况之一的，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cs="Arial"/>
          <w:color w:val="auto"/>
          <w:sz w:val="21"/>
          <w:szCs w:val="21"/>
          <w:highlight w:val="none"/>
        </w:rPr>
        <w:t>委员会应当否决其</w:t>
      </w: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cs="Arial"/>
          <w:color w:val="auto"/>
          <w:sz w:val="21"/>
          <w:szCs w:val="21"/>
          <w:highlight w:val="none"/>
        </w:rPr>
        <w:t>：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①</w:t>
      </w:r>
      <w:r>
        <w:rPr>
          <w:rFonts w:hint="eastAsia" w:cs="Arial"/>
          <w:color w:val="auto"/>
          <w:sz w:val="21"/>
          <w:szCs w:val="21"/>
          <w:highlight w:val="none"/>
        </w:rPr>
        <w:t>不符合“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人的资格要求”的；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②</w:t>
      </w:r>
      <w:r>
        <w:rPr>
          <w:rFonts w:hint="eastAsia" w:cs="Arial"/>
          <w:color w:val="auto"/>
          <w:sz w:val="21"/>
          <w:szCs w:val="21"/>
          <w:highlight w:val="none"/>
        </w:rPr>
        <w:t>不满足技术文件星号条款的；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③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报价明显低于成本的；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④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文件没有对</w:t>
      </w: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cs="Arial"/>
          <w:color w:val="auto"/>
          <w:sz w:val="21"/>
          <w:szCs w:val="21"/>
          <w:highlight w:val="none"/>
        </w:rPr>
        <w:t>文件的实质性要求和条件做出响应的；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⑤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人有相互串通投标、弄虚作假、行贿等违规行为的；</w:t>
      </w:r>
    </w:p>
    <w:p>
      <w:pPr>
        <w:pStyle w:val="5"/>
        <w:numPr>
          <w:ilvl w:val="0"/>
          <w:numId w:val="0"/>
        </w:numPr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⑥谈判</w:t>
      </w:r>
      <w:r>
        <w:rPr>
          <w:rFonts w:hint="eastAsia" w:cs="Arial"/>
          <w:color w:val="auto"/>
          <w:sz w:val="21"/>
          <w:szCs w:val="21"/>
          <w:highlight w:val="none"/>
        </w:rPr>
        <w:t>文件中其他否决</w:t>
      </w: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cs="Arial"/>
          <w:color w:val="auto"/>
          <w:sz w:val="21"/>
          <w:szCs w:val="21"/>
          <w:highlight w:val="none"/>
        </w:rPr>
        <w:t>规定的；</w:t>
      </w:r>
    </w:p>
    <w:p>
      <w:pPr>
        <w:pStyle w:val="5"/>
        <w:adjustRightInd w:val="0"/>
        <w:snapToGrid w:val="0"/>
        <w:rPr>
          <w:rFonts w:hint="eastAsia" w:cs="Arial"/>
          <w:color w:val="auto"/>
          <w:sz w:val="21"/>
          <w:szCs w:val="21"/>
          <w:highlight w:val="none"/>
        </w:rPr>
      </w:pPr>
      <w:r>
        <w:rPr>
          <w:rFonts w:hint="eastAsia" w:cs="Arial"/>
          <w:color w:val="auto"/>
          <w:sz w:val="21"/>
          <w:szCs w:val="21"/>
          <w:highlight w:val="none"/>
          <w:lang w:eastAsia="zh-CN"/>
        </w:rPr>
        <w:t>⑦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cs="Arial"/>
          <w:color w:val="auto"/>
          <w:sz w:val="21"/>
          <w:szCs w:val="21"/>
          <w:highlight w:val="none"/>
        </w:rPr>
        <w:t>人不符合国家相关规定的。</w:t>
      </w:r>
    </w:p>
    <w:p>
      <w:pPr>
        <w:pStyle w:val="5"/>
        <w:adjustRightInd w:val="0"/>
        <w:snapToGrid w:val="0"/>
        <w:rPr>
          <w:rFonts w:hint="eastAsia" w:hAnsi="宋体" w:eastAsia="宋体" w:cs="Arial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hAnsi="宋体" w:cs="Arial"/>
          <w:b/>
          <w:bCs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hAnsi="宋体" w:cs="Arial"/>
          <w:b/>
          <w:bCs/>
          <w:color w:val="auto"/>
          <w:sz w:val="21"/>
          <w:szCs w:val="21"/>
          <w:highlight w:val="none"/>
        </w:rPr>
        <w:t>详细</w:t>
      </w:r>
      <w:r>
        <w:rPr>
          <w:rFonts w:hint="eastAsia" w:hAnsi="宋体" w:cs="Arial"/>
          <w:b/>
          <w:bCs/>
          <w:color w:val="auto"/>
          <w:sz w:val="21"/>
          <w:szCs w:val="21"/>
          <w:highlight w:val="none"/>
          <w:lang w:eastAsia="zh-CN"/>
        </w:rPr>
        <w:t>谈判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2"/>
        <w:jc w:val="left"/>
        <w:rPr>
          <w:rStyle w:val="10"/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经初步评审合格的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委员会应当根据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招标文件确定的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标准和方法，对其技术部分和商务部分作进一步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、比较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37" w:line="360" w:lineRule="auto"/>
        <w:ind w:right="-2"/>
        <w:jc w:val="left"/>
        <w:rPr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文件中各部分进行综合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，确定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人对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文件的响应情况，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委员会将采用百分制打分的办法，根据得分由高向低的顺序推荐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成交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候选人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adjustRightInd w:val="0"/>
        <w:snapToGrid w:val="0"/>
        <w:rPr>
          <w:rStyle w:val="10"/>
          <w:rFonts w:hint="eastAsia" w:hAnsi="宋体"/>
          <w:color w:val="auto"/>
          <w:sz w:val="21"/>
          <w:szCs w:val="21"/>
          <w:highlight w:val="none"/>
        </w:rPr>
      </w:pP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报告</w:t>
      </w:r>
    </w:p>
    <w:p>
      <w:pPr>
        <w:pStyle w:val="5"/>
        <w:adjustRightInd w:val="0"/>
        <w:snapToGrid w:val="0"/>
        <w:rPr>
          <w:rStyle w:val="10"/>
          <w:rFonts w:hint="eastAsia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①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委员会完成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后，应当向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人提出书面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报告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adjustRightInd w:val="0"/>
        <w:snapToGrid w:val="0"/>
        <w:rPr>
          <w:rStyle w:val="10"/>
          <w:rFonts w:hint="eastAsia" w:hAnsi="宋体" w:eastAsia="宋体"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②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报告由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委员会全体成员签字。对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结论持有异议的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委员会成员可以书面方式阐述其不同意见和理由。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委员会成员拒绝在评标报告上签字且不陈述其不同意见和理由的，视为同意评标结论。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委员会应当对此作出书面说明并记录在案</w:t>
      </w: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adjustRightInd w:val="0"/>
        <w:snapToGrid w:val="0"/>
        <w:rPr>
          <w:rFonts w:hAnsi="宋体"/>
          <w:color w:val="auto"/>
          <w:sz w:val="21"/>
          <w:szCs w:val="21"/>
          <w:highlight w:val="none"/>
        </w:rPr>
      </w:pPr>
      <w:r>
        <w:rPr>
          <w:rStyle w:val="10"/>
          <w:rFonts w:hint="eastAsia" w:hAnsi="宋体"/>
          <w:color w:val="auto"/>
          <w:sz w:val="21"/>
          <w:szCs w:val="21"/>
          <w:highlight w:val="none"/>
          <w:lang w:eastAsia="zh-CN"/>
        </w:rPr>
        <w:t>③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委员会向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人提交书面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报告后，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Style w:val="10"/>
          <w:rFonts w:hint="eastAsia" w:hAnsi="宋体"/>
          <w:color w:val="auto"/>
          <w:sz w:val="21"/>
          <w:szCs w:val="21"/>
          <w:highlight w:val="none"/>
        </w:rPr>
        <w:t>委员会即告解散。</w:t>
      </w:r>
    </w:p>
    <w:p>
      <w:pPr>
        <w:pStyle w:val="7"/>
        <w:numPr>
          <w:ilvl w:val="0"/>
          <w:numId w:val="0"/>
        </w:numPr>
        <w:snapToGrid w:val="0"/>
        <w:ind w:leftChars="0"/>
        <w:rPr>
          <w:rFonts w:hint="eastAsia"/>
          <w:color w:val="auto"/>
          <w:sz w:val="21"/>
          <w:szCs w:val="21"/>
          <w:highlight w:val="none"/>
        </w:rPr>
      </w:pPr>
      <w:bookmarkStart w:id="8" w:name="_Toc478736681"/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/>
          <w:color w:val="auto"/>
          <w:sz w:val="21"/>
          <w:szCs w:val="21"/>
          <w:highlight w:val="none"/>
        </w:rPr>
        <w:t>内容及标准</w:t>
      </w:r>
      <w:bookmarkEnd w:id="8"/>
    </w:p>
    <w:p>
      <w:pPr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）谈判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内容</w:t>
      </w:r>
    </w:p>
    <w:p>
      <w:pPr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</w:rPr>
        <w:tab/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采用</w:t>
      </w:r>
      <w:r>
        <w:rPr>
          <w:rStyle w:val="10"/>
          <w:rFonts w:hint="eastAsia" w:ascii="宋体" w:hAnsi="宋体"/>
          <w:color w:val="auto"/>
          <w:sz w:val="21"/>
          <w:szCs w:val="21"/>
          <w:highlight w:val="none"/>
        </w:rPr>
        <w:t>百分制打分，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总分为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>100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分，其中：</w:t>
      </w:r>
    </w:p>
    <w:p>
      <w:pPr>
        <w:snapToGrid w:val="0"/>
        <w:spacing w:line="360" w:lineRule="auto"/>
        <w:ind w:left="560" w:firstLine="430" w:firstLineChars="205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技术部分（A1）：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分</w:t>
      </w:r>
    </w:p>
    <w:p>
      <w:pPr>
        <w:snapToGrid w:val="0"/>
        <w:spacing w:line="360" w:lineRule="auto"/>
        <w:ind w:left="560" w:firstLine="430" w:firstLineChars="205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商务部分（A2）：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  <w:lang w:val="en-US" w:eastAsia="zh-CN"/>
        </w:rPr>
        <w:t>20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分</w:t>
      </w:r>
    </w:p>
    <w:p>
      <w:pPr>
        <w:snapToGrid w:val="0"/>
        <w:spacing w:line="360" w:lineRule="auto"/>
        <w:ind w:left="560" w:firstLine="430" w:firstLineChars="205"/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报价部分（A3）：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u w:val="single"/>
          <w:lang w:val="en-US" w:eastAsia="zh-CN"/>
        </w:rPr>
        <w:t>50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分</w:t>
      </w:r>
    </w:p>
    <w:p>
      <w:pPr>
        <w:snapToGrid w:val="0"/>
        <w:spacing w:line="360" w:lineRule="auto"/>
        <w:ind w:firstLine="424" w:firstLineChars="202"/>
        <w:rPr>
          <w:rFonts w:hint="eastAsia" w:ascii="宋体" w:hAnsi="宋体" w:eastAsia="宋体" w:cs="Arial"/>
          <w:color w:val="auto"/>
          <w:sz w:val="21"/>
          <w:szCs w:val="21"/>
          <w:highlight w:val="none"/>
          <w:lang w:eastAsia="zh-CN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人得分= A1+ A2+ A3。小数点保留位数：评分分值计算保留小数点后两位，第三位四舍五入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；</w:t>
      </w:r>
    </w:p>
    <w:p>
      <w:pPr>
        <w:snapToGrid w:val="0"/>
        <w:spacing w:line="360" w:lineRule="auto"/>
        <w:rPr>
          <w:rFonts w:hint="eastAsia" w:ascii="宋体" w:hAnsi="宋体" w:cs="Arial"/>
          <w:color w:val="auto"/>
          <w:sz w:val="21"/>
          <w:szCs w:val="21"/>
          <w:highlight w:val="none"/>
        </w:rPr>
      </w:pP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针对某一有效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人，所有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委员会成员最终评分的算术平均值即为该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人的最终得分。在分数相同的情况下，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报价低的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谈判响应</w:t>
      </w:r>
      <w:r>
        <w:rPr>
          <w:rFonts w:hint="eastAsia" w:ascii="宋体" w:hAnsi="宋体" w:cs="Arial"/>
          <w:color w:val="auto"/>
          <w:sz w:val="21"/>
          <w:szCs w:val="21"/>
          <w:highlight w:val="none"/>
        </w:rPr>
        <w:t>人排名优先。</w:t>
      </w:r>
    </w:p>
    <w:p>
      <w:pPr>
        <w:pStyle w:val="5"/>
        <w:adjustRightInd w:val="0"/>
        <w:snapToGrid w:val="0"/>
        <w:rPr>
          <w:color w:val="auto"/>
          <w:sz w:val="21"/>
          <w:szCs w:val="21"/>
          <w:highlight w:val="none"/>
        </w:rPr>
      </w:pP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Arial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hAnsi="宋体" w:cs="Arial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hAnsi="宋体" w:cs="Arial"/>
          <w:color w:val="auto"/>
          <w:sz w:val="21"/>
          <w:szCs w:val="21"/>
          <w:highlight w:val="none"/>
        </w:rPr>
        <w:t>评分细则</w:t>
      </w:r>
    </w:p>
    <w:p>
      <w:pPr>
        <w:pStyle w:val="2"/>
        <w:ind w:left="0" w:leftChars="0" w:firstLine="0" w:firstLineChars="0"/>
      </w:pPr>
    </w:p>
    <w:p/>
    <w:tbl>
      <w:tblPr>
        <w:tblStyle w:val="8"/>
        <w:tblW w:w="8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885"/>
        <w:gridCol w:w="1295"/>
        <w:gridCol w:w="4050"/>
        <w:gridCol w:w="662"/>
        <w:gridCol w:w="736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856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6983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34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评分细则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97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技术部分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方案切合实际，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较服务要求有提升，11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方案较好，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能满足维修服务要求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3.其它得0—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质量目标和措施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1.具体、明确、标准高、切合实际，得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质量保证措施较好，得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质量目标和保证措施一般，得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重点、难点分析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依据是否结合实际，到位准确评价：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1.优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其它0-3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97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商务部分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20分</w:t>
            </w:r>
          </w:p>
        </w:tc>
        <w:tc>
          <w:tcPr>
            <w:tcW w:w="129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企业经营状况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企业注册资金：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万（含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万）以上得4分；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贰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万以上（含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贰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万）得2分；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贰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万以下不得分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Chars="0"/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Chars="0"/>
            </w:pPr>
          </w:p>
        </w:tc>
        <w:tc>
          <w:tcPr>
            <w:tcW w:w="129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Chars="0"/>
            </w:pP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财务状况及资信证明情况：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年盈利得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分，亏损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不得分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2.资信无不良记录得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，有不良记录不得分。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Chars="0"/>
              <w:rPr>
                <w:rFonts w:hint="eastAsia"/>
                <w:lang w:val="en-US" w:eastAsia="zh-CN"/>
              </w:rPr>
            </w:pP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类似项目合同（近3年），至少1份，多提供1份得1分，最高得5分。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项目负责人资历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1.负责人具有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从事锅炉维修工作5年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分（需提供履历相关证明）；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2.负责人具有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从事锅炉维修工作3年以上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3.负责人具有其它履历证明的得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报价部分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534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基准价为所有有效报价的最低价；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报价得分=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基准价/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人报价×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3.在价格评议中，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委员会如发现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人的报价明显严重偏离其他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报价时，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人必须做出书面说明并提供相关证明材料，否则，将视为低于成本价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或扰乱市场竞争，其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询价响应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将被拒绝；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4.报价应为完成本项目施工所发生的全部</w:t>
            </w:r>
            <w:bookmarkStart w:id="9" w:name="_GoBack"/>
            <w:bookmarkEnd w:id="9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费用，包括但不限于材料费用、人工费、食宿费用、工器具使用费、及其它可能发生的各种费用。</w:t>
            </w: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0分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100分</w:t>
            </w:r>
          </w:p>
        </w:tc>
        <w:tc>
          <w:tcPr>
            <w:tcW w:w="534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bidi w:val="0"/>
        <w:ind w:firstLine="311" w:firstLineChars="0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626"/>
    <w:multiLevelType w:val="multilevel"/>
    <w:tmpl w:val="197A0626"/>
    <w:lvl w:ilvl="0" w:tentative="0">
      <w:start w:val="1"/>
      <w:numFmt w:val="decimal"/>
      <w:pStyle w:val="7"/>
      <w:lvlText w:val="%1."/>
      <w:lvlJc w:val="left"/>
      <w:pPr>
        <w:ind w:left="567" w:hanging="567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DQ3YTE4NWQ4NGJmMTQ5YTlkYzZlZmI4MzJiZjQifQ=="/>
  </w:docVars>
  <w:rsids>
    <w:rsidRoot w:val="00000000"/>
    <w:rsid w:val="000E2CBE"/>
    <w:rsid w:val="01C0309B"/>
    <w:rsid w:val="02B20C36"/>
    <w:rsid w:val="034F16E3"/>
    <w:rsid w:val="04653A08"/>
    <w:rsid w:val="05834B0B"/>
    <w:rsid w:val="0696261C"/>
    <w:rsid w:val="06FD3109"/>
    <w:rsid w:val="072145DC"/>
    <w:rsid w:val="078D1C71"/>
    <w:rsid w:val="080F5F03"/>
    <w:rsid w:val="09A01FEC"/>
    <w:rsid w:val="0A4C5E14"/>
    <w:rsid w:val="0C9F66CF"/>
    <w:rsid w:val="0D3D41D7"/>
    <w:rsid w:val="0D984ECC"/>
    <w:rsid w:val="0E7B3C6C"/>
    <w:rsid w:val="0FE970D0"/>
    <w:rsid w:val="102F1CA0"/>
    <w:rsid w:val="108D3201"/>
    <w:rsid w:val="11513D10"/>
    <w:rsid w:val="116F5173"/>
    <w:rsid w:val="11742A58"/>
    <w:rsid w:val="136E0BA9"/>
    <w:rsid w:val="13877EBC"/>
    <w:rsid w:val="15AC2E7F"/>
    <w:rsid w:val="16AE5760"/>
    <w:rsid w:val="17654071"/>
    <w:rsid w:val="18041ADC"/>
    <w:rsid w:val="180655CB"/>
    <w:rsid w:val="18D76D2F"/>
    <w:rsid w:val="1C0A7484"/>
    <w:rsid w:val="1CA768EC"/>
    <w:rsid w:val="1EDF0BAD"/>
    <w:rsid w:val="22556051"/>
    <w:rsid w:val="227D10D8"/>
    <w:rsid w:val="22EC5646"/>
    <w:rsid w:val="24176DE3"/>
    <w:rsid w:val="242E1C8E"/>
    <w:rsid w:val="25CE197B"/>
    <w:rsid w:val="266B7D28"/>
    <w:rsid w:val="26EF1BA9"/>
    <w:rsid w:val="29DD6BED"/>
    <w:rsid w:val="2BC44A9D"/>
    <w:rsid w:val="2CF9108B"/>
    <w:rsid w:val="2DE57862"/>
    <w:rsid w:val="3159488A"/>
    <w:rsid w:val="32957AA8"/>
    <w:rsid w:val="33F46A50"/>
    <w:rsid w:val="33F869FB"/>
    <w:rsid w:val="345570DF"/>
    <w:rsid w:val="34F8431E"/>
    <w:rsid w:val="3550415A"/>
    <w:rsid w:val="3608233F"/>
    <w:rsid w:val="363D52CF"/>
    <w:rsid w:val="3703482D"/>
    <w:rsid w:val="38DE382B"/>
    <w:rsid w:val="392A6A70"/>
    <w:rsid w:val="394B1B00"/>
    <w:rsid w:val="39BD33F8"/>
    <w:rsid w:val="3A433E42"/>
    <w:rsid w:val="3C3F34CE"/>
    <w:rsid w:val="3DAE1A1E"/>
    <w:rsid w:val="3F1F0CCB"/>
    <w:rsid w:val="40C61775"/>
    <w:rsid w:val="41D92A9D"/>
    <w:rsid w:val="47487CF5"/>
    <w:rsid w:val="475A6773"/>
    <w:rsid w:val="47C14A44"/>
    <w:rsid w:val="4A2A1B94"/>
    <w:rsid w:val="4A301A0D"/>
    <w:rsid w:val="4F3B1580"/>
    <w:rsid w:val="4FC13833"/>
    <w:rsid w:val="51BE39D4"/>
    <w:rsid w:val="52393747"/>
    <w:rsid w:val="539D6F65"/>
    <w:rsid w:val="53D61877"/>
    <w:rsid w:val="54086DB4"/>
    <w:rsid w:val="54804813"/>
    <w:rsid w:val="54813591"/>
    <w:rsid w:val="577613A7"/>
    <w:rsid w:val="57825F9E"/>
    <w:rsid w:val="5889434F"/>
    <w:rsid w:val="58EE375C"/>
    <w:rsid w:val="59CA59DA"/>
    <w:rsid w:val="5A252C10"/>
    <w:rsid w:val="5CB70498"/>
    <w:rsid w:val="5D1537EF"/>
    <w:rsid w:val="5D656145"/>
    <w:rsid w:val="60AD70C4"/>
    <w:rsid w:val="61A26F91"/>
    <w:rsid w:val="61D90EB0"/>
    <w:rsid w:val="64FC04E2"/>
    <w:rsid w:val="65006754"/>
    <w:rsid w:val="652E32C1"/>
    <w:rsid w:val="66816347"/>
    <w:rsid w:val="6AC5421C"/>
    <w:rsid w:val="6C5A2BED"/>
    <w:rsid w:val="6D1A237D"/>
    <w:rsid w:val="6F073175"/>
    <w:rsid w:val="70F00D55"/>
    <w:rsid w:val="71DE7E1D"/>
    <w:rsid w:val="7762586D"/>
    <w:rsid w:val="797C4EBB"/>
    <w:rsid w:val="7A7E31FE"/>
    <w:rsid w:val="7E0D5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unhideWhenUsed/>
    <w:qFormat/>
    <w:uiPriority w:val="99"/>
    <w:pPr>
      <w:spacing w:line="360" w:lineRule="auto"/>
    </w:pPr>
    <w:rPr>
      <w:rFonts w:ascii="宋体" w:hAnsi="Courier New"/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Subtitle"/>
    <w:basedOn w:val="1"/>
    <w:next w:val="1"/>
    <w:qFormat/>
    <w:uiPriority w:val="11"/>
    <w:pPr>
      <w:numPr>
        <w:ilvl w:val="0"/>
        <w:numId w:val="1"/>
      </w:numPr>
      <w:spacing w:line="360" w:lineRule="auto"/>
      <w:jc w:val="left"/>
      <w:outlineLvl w:val="1"/>
    </w:pPr>
    <w:rPr>
      <w:rFonts w:ascii="Cambria" w:hAnsi="Cambria"/>
      <w:b/>
      <w:bCs/>
      <w:kern w:val="28"/>
      <w:sz w:val="28"/>
      <w:szCs w:val="32"/>
    </w:rPr>
  </w:style>
  <w:style w:type="character" w:customStyle="1" w:styleId="10">
    <w:name w:val="lawsitemtext"/>
    <w:qFormat/>
    <w:uiPriority w:val="0"/>
  </w:style>
  <w:style w:type="character" w:customStyle="1" w:styleId="1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single"/>
    </w:rPr>
  </w:style>
  <w:style w:type="character" w:customStyle="1" w:styleId="13">
    <w:name w:val="font4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2518</Words>
  <Characters>2594</Characters>
  <Lines>0</Lines>
  <Paragraphs>0</Paragraphs>
  <TotalTime>3</TotalTime>
  <ScaleCrop>false</ScaleCrop>
  <LinksUpToDate>false</LinksUpToDate>
  <CharactersWithSpaces>2604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2024-01-03T02:46:00Z</cp:lastPrinted>
  <dcterms:modified xsi:type="dcterms:W3CDTF">2024-04-09T01:20:23Z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0A4DA274234C4EB1934A8124A477394F_13</vt:lpwstr>
  </property>
</Properties>
</file>