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9"/>
        <w:tblW w:w="9613" w:type="dxa"/>
        <w:jc w:val="center"/>
        <w:tblLayout w:type="fixed"/>
        <w:tblCellMar>
          <w:top w:w="0" w:type="dxa"/>
          <w:left w:w="0" w:type="dxa"/>
          <w:bottom w:w="0" w:type="dxa"/>
          <w:right w:w="0" w:type="dxa"/>
        </w:tblCellMar>
      </w:tblPr>
      <w:tblGrid>
        <w:gridCol w:w="510"/>
        <w:gridCol w:w="3450"/>
        <w:gridCol w:w="5653"/>
      </w:tblGrid>
      <w:tr>
        <w:tblPrEx>
          <w:tblCellMar>
            <w:top w:w="0" w:type="dxa"/>
            <w:left w:w="0" w:type="dxa"/>
            <w:bottom w:w="0" w:type="dxa"/>
            <w:right w:w="0" w:type="dxa"/>
          </w:tblCellMar>
        </w:tblPrEx>
        <w:trPr>
          <w:trHeight w:val="375" w:hRule="atLeast"/>
          <w:jc w:val="center"/>
        </w:trPr>
        <w:tc>
          <w:tcPr>
            <w:tcW w:w="9613" w:type="dxa"/>
            <w:gridSpan w:val="3"/>
            <w:tcBorders>
              <w:top w:val="nil"/>
              <w:left w:val="nil"/>
              <w:bottom w:val="single" w:color="000000" w:sz="4" w:space="0"/>
              <w:right w:val="nil"/>
            </w:tcBorders>
            <w:noWrap/>
            <w:tcMar>
              <w:top w:w="15" w:type="dxa"/>
              <w:left w:w="15" w:type="dxa"/>
              <w:right w:w="15" w:type="dxa"/>
            </w:tcMar>
            <w:vAlign w:val="bottom"/>
          </w:tcPr>
          <w:p>
            <w:pPr>
              <w:widowControl/>
              <w:tabs>
                <w:tab w:val="left" w:pos="425"/>
              </w:tabs>
              <w:jc w:val="center"/>
              <w:textAlignment w:val="bottom"/>
              <w:rPr>
                <w:rFonts w:hint="eastAsia" w:ascii="宋体" w:hAnsi="宋体" w:cs="宋体"/>
                <w:b/>
                <w:color w:val="auto"/>
                <w:sz w:val="28"/>
                <w:szCs w:val="28"/>
                <w:highlight w:val="none"/>
              </w:rPr>
            </w:pPr>
            <w:r>
              <w:rPr>
                <w:rFonts w:hint="eastAsia" w:ascii="宋体" w:hAnsi="宋体" w:cs="宋体"/>
                <w:b/>
                <w:color w:val="auto"/>
                <w:kern w:val="0"/>
                <w:sz w:val="28"/>
                <w:szCs w:val="28"/>
                <w:highlight w:val="none"/>
                <w:lang w:bidi="ar"/>
              </w:rPr>
              <w:t>谈判响应人须知前附表</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b/>
                <w:color w:val="auto"/>
                <w:sz w:val="20"/>
                <w:highlight w:val="none"/>
              </w:rPr>
            </w:pPr>
            <w:r>
              <w:rPr>
                <w:rFonts w:hint="eastAsia" w:ascii="宋体" w:hAnsi="宋体" w:cs="宋体"/>
                <w:b/>
                <w:color w:val="auto"/>
                <w:kern w:val="0"/>
                <w:sz w:val="20"/>
                <w:highlight w:val="none"/>
                <w:lang w:bidi="ar"/>
              </w:rPr>
              <w:t>序号</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b/>
                <w:color w:val="auto"/>
                <w:sz w:val="20"/>
                <w:highlight w:val="none"/>
              </w:rPr>
            </w:pPr>
            <w:r>
              <w:rPr>
                <w:rFonts w:hint="eastAsia" w:ascii="宋体" w:hAnsi="宋体" w:cs="宋体"/>
                <w:b/>
                <w:color w:val="auto"/>
                <w:kern w:val="0"/>
                <w:sz w:val="20"/>
                <w:highlight w:val="none"/>
                <w:lang w:bidi="ar"/>
              </w:rPr>
              <w:t>名称</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b/>
                <w:color w:val="auto"/>
                <w:sz w:val="20"/>
                <w:highlight w:val="none"/>
              </w:rPr>
            </w:pPr>
            <w:r>
              <w:rPr>
                <w:rFonts w:hint="eastAsia" w:ascii="宋体" w:hAnsi="宋体" w:cs="宋体"/>
                <w:b/>
                <w:color w:val="auto"/>
                <w:kern w:val="0"/>
                <w:sz w:val="20"/>
                <w:highlight w:val="none"/>
                <w:lang w:bidi="ar"/>
              </w:rPr>
              <w:t>内容</w:t>
            </w:r>
          </w:p>
        </w:tc>
      </w:tr>
      <w:tr>
        <w:tblPrEx>
          <w:tblCellMar>
            <w:top w:w="0" w:type="dxa"/>
            <w:left w:w="0" w:type="dxa"/>
            <w:bottom w:w="0" w:type="dxa"/>
            <w:right w:w="0" w:type="dxa"/>
          </w:tblCellMar>
        </w:tblPrEx>
        <w:trPr>
          <w:trHeight w:val="90"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w:t>
            </w:r>
          </w:p>
        </w:tc>
        <w:tc>
          <w:tcPr>
            <w:tcW w:w="3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谈判人</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left"/>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谈 判 人：哈密市和翔工贸有限责任公司</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left"/>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 xml:space="preserve">          地    址：新疆哈密市巴里坤县大红柳峡乡</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left"/>
              <w:textAlignment w:val="center"/>
              <w:rPr>
                <w:rFonts w:hint="eastAsia" w:ascii="宋体" w:hAnsi="宋体" w:eastAsia="宋体" w:cs="宋体"/>
                <w:color w:val="auto"/>
                <w:sz w:val="20"/>
                <w:highlight w:val="none"/>
                <w:lang w:val="en-US" w:eastAsia="zh-CN"/>
              </w:rPr>
            </w:pPr>
            <w:r>
              <w:rPr>
                <w:rFonts w:hint="eastAsia" w:ascii="宋体" w:hAnsi="宋体" w:cs="宋体"/>
                <w:color w:val="auto"/>
                <w:kern w:val="0"/>
                <w:sz w:val="20"/>
                <w:highlight w:val="none"/>
                <w:lang w:bidi="ar"/>
              </w:rPr>
              <w:t xml:space="preserve">          联 系 人：</w:t>
            </w:r>
            <w:r>
              <w:rPr>
                <w:rFonts w:hint="eastAsia" w:ascii="宋体" w:hAnsi="宋体" w:eastAsia="宋体" w:cs="宋体"/>
                <w:i w:val="0"/>
                <w:color w:val="auto"/>
                <w:kern w:val="0"/>
                <w:sz w:val="20"/>
                <w:szCs w:val="20"/>
                <w:u w:val="none"/>
                <w:lang w:val="en-US" w:eastAsia="zh-CN" w:bidi="ar"/>
              </w:rPr>
              <w:t>柴小博</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ind w:firstLine="1000" w:firstLineChars="500"/>
              <w:rPr>
                <w:rFonts w:hint="default" w:ascii="宋体" w:hAnsi="宋体" w:eastAsia="宋体" w:cs="宋体"/>
                <w:color w:val="auto"/>
                <w:sz w:val="20"/>
                <w:highlight w:val="none"/>
                <w:lang w:val="en-US" w:eastAsia="zh-CN"/>
              </w:rPr>
            </w:pPr>
            <w:r>
              <w:rPr>
                <w:rFonts w:hint="eastAsia" w:ascii="宋体" w:hAnsi="宋体" w:cs="宋体"/>
                <w:color w:val="auto"/>
                <w:kern w:val="0"/>
                <w:sz w:val="20"/>
                <w:highlight w:val="none"/>
                <w:lang w:bidi="ar"/>
              </w:rPr>
              <w:t>联系电话：</w:t>
            </w:r>
            <w:r>
              <w:rPr>
                <w:rFonts w:hint="eastAsia" w:ascii="宋体" w:hAnsi="宋体" w:eastAsia="宋体" w:cs="宋体"/>
                <w:i w:val="0"/>
                <w:color w:val="auto"/>
                <w:kern w:val="0"/>
                <w:sz w:val="20"/>
                <w:szCs w:val="20"/>
                <w:u w:val="none"/>
                <w:lang w:val="en-US" w:eastAsia="zh-CN" w:bidi="ar"/>
              </w:rPr>
              <w:t>18099029828</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2</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项目名称</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default" w:ascii="宋体" w:hAnsi="宋体" w:eastAsia="宋体" w:cs="宋体"/>
                <w:i w:val="0"/>
                <w:color w:val="auto"/>
                <w:kern w:val="0"/>
                <w:sz w:val="20"/>
                <w:szCs w:val="20"/>
                <w:u w:val="none"/>
                <w:lang w:val="en-US" w:eastAsia="zh-CN" w:bidi="ar"/>
              </w:rPr>
              <w:t>和翔别矿锅炉大修</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3</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建设地点</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eastAsia="宋体" w:cs="宋体"/>
                <w:color w:val="auto"/>
                <w:sz w:val="20"/>
                <w:highlight w:val="none"/>
                <w:lang w:eastAsia="zh-CN"/>
              </w:rPr>
            </w:pPr>
            <w:r>
              <w:rPr>
                <w:rFonts w:hint="eastAsia" w:ascii="宋体" w:hAnsi="宋体" w:eastAsia="宋体" w:cs="宋体"/>
                <w:i w:val="0"/>
                <w:color w:val="auto"/>
                <w:kern w:val="0"/>
                <w:sz w:val="20"/>
                <w:szCs w:val="20"/>
                <w:u w:val="none"/>
                <w:lang w:val="en-US" w:eastAsia="zh-CN" w:bidi="ar"/>
              </w:rPr>
              <w:t>哈密市和翔工贸有限责任公司别斯库都克露天煤矿</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4</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资金来源</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企业自筹</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5</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资金落实情况</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已落实</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6</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谈判范围</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见谈判公告</w:t>
            </w:r>
          </w:p>
        </w:tc>
      </w:tr>
      <w:tr>
        <w:tblPrEx>
          <w:tblCellMar>
            <w:top w:w="0" w:type="dxa"/>
            <w:left w:w="0" w:type="dxa"/>
            <w:bottom w:w="0" w:type="dxa"/>
            <w:right w:w="0" w:type="dxa"/>
          </w:tblCellMar>
        </w:tblPrEx>
        <w:trPr>
          <w:trHeight w:val="90"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7</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质量要求</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ind w:firstLine="400" w:firstLineChars="200"/>
              <w:jc w:val="center"/>
              <w:textAlignment w:val="center"/>
              <w:rPr>
                <w:rFonts w:ascii="宋体" w:hAnsi="宋体" w:cs="宋体"/>
                <w:color w:val="auto"/>
                <w:sz w:val="20"/>
                <w:highlight w:val="none"/>
              </w:rPr>
            </w:pPr>
            <w:r>
              <w:rPr>
                <w:rFonts w:hint="eastAsia" w:ascii="宋体" w:hAnsi="宋体" w:eastAsia="宋体" w:cs="宋体"/>
                <w:i w:val="0"/>
                <w:color w:val="auto"/>
                <w:sz w:val="20"/>
                <w:szCs w:val="20"/>
                <w:highlight w:val="none"/>
                <w:u w:val="none"/>
                <w:lang w:val="en-US" w:eastAsia="zh-CN"/>
              </w:rPr>
              <w:t>详见：《</w:t>
            </w:r>
            <w:r>
              <w:rPr>
                <w:rFonts w:hint="eastAsia" w:ascii="宋体" w:hAnsi="宋体" w:eastAsia="宋体" w:cs="宋体"/>
                <w:i w:val="0"/>
                <w:color w:val="auto"/>
                <w:kern w:val="0"/>
                <w:sz w:val="20"/>
                <w:szCs w:val="20"/>
                <w:highlight w:val="none"/>
                <w:u w:val="none"/>
                <w:lang w:val="en-US" w:eastAsia="zh-CN" w:bidi="ar"/>
              </w:rPr>
              <w:t>技术规格书》。</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8</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工期</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见谈判公告</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9</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谈判响应人资格要求</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见谈判公告</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10</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是否接受联合体谈判</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eastAsia="宋体" w:cs="宋体"/>
                <w:color w:val="auto"/>
                <w:sz w:val="20"/>
                <w:highlight w:val="none"/>
                <w:lang w:eastAsia="zh-CN"/>
              </w:rPr>
            </w:pPr>
            <w:r>
              <w:rPr>
                <w:rFonts w:hint="eastAsia" w:ascii="宋体" w:hAnsi="宋体" w:cs="宋体"/>
                <w:color w:val="auto"/>
                <w:kern w:val="0"/>
                <w:sz w:val="20"/>
                <w:highlight w:val="none"/>
                <w:lang w:bidi="ar"/>
              </w:rPr>
              <w:t xml:space="preserve">  </w:t>
            </w:r>
            <w:r>
              <w:rPr>
                <w:rFonts w:hint="eastAsia" w:ascii="宋体" w:hAnsi="宋体" w:cs="宋体"/>
                <w:color w:val="auto"/>
                <w:kern w:val="0"/>
                <w:sz w:val="20"/>
                <w:highlight w:val="none"/>
                <w:lang w:val="en-US" w:eastAsia="zh-CN" w:bidi="ar"/>
              </w:rPr>
              <w:t>否</w:t>
            </w:r>
          </w:p>
        </w:tc>
      </w:tr>
      <w:tr>
        <w:tblPrEx>
          <w:tblCellMar>
            <w:top w:w="0" w:type="dxa"/>
            <w:left w:w="0" w:type="dxa"/>
            <w:bottom w:w="0" w:type="dxa"/>
            <w:right w:w="0" w:type="dxa"/>
          </w:tblCellMar>
        </w:tblPrEx>
        <w:trPr>
          <w:trHeight w:val="285"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11</w:t>
            </w:r>
          </w:p>
        </w:tc>
        <w:tc>
          <w:tcPr>
            <w:tcW w:w="3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踏勘现场</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w:t>
            </w:r>
            <w:r>
              <w:rPr>
                <w:rStyle w:val="74"/>
                <w:color w:val="auto"/>
                <w:highlight w:val="none"/>
                <w:lang w:bidi="ar"/>
              </w:rPr>
              <w:t>不组织，可自行踏勘</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eastAsia="宋体" w:cs="宋体"/>
                <w:color w:val="auto"/>
                <w:sz w:val="20"/>
                <w:highlight w:val="none"/>
                <w:lang w:eastAsia="zh-CN"/>
              </w:rPr>
            </w:pP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t>组织，踏勘时间：</w:t>
            </w:r>
            <w:r>
              <w:rPr>
                <w:rFonts w:hint="eastAsia" w:ascii="宋体" w:hAnsi="宋体" w:cs="宋体"/>
                <w:color w:val="auto"/>
                <w:kern w:val="0"/>
                <w:sz w:val="20"/>
                <w:highlight w:val="none"/>
                <w:lang w:eastAsia="zh-CN" w:bidi="ar"/>
              </w:rPr>
              <w:t>发标后第三天</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eastAsia="宋体" w:cs="宋体"/>
                <w:color w:val="auto"/>
                <w:sz w:val="20"/>
                <w:highlight w:val="none"/>
                <w:lang w:eastAsia="zh-CN"/>
              </w:rPr>
            </w:pPr>
            <w:r>
              <w:rPr>
                <w:rFonts w:hint="eastAsia" w:ascii="宋体" w:hAnsi="宋体" w:cs="宋体"/>
                <w:color w:val="auto"/>
                <w:kern w:val="0"/>
                <w:sz w:val="20"/>
                <w:highlight w:val="none"/>
                <w:lang w:bidi="ar"/>
              </w:rPr>
              <w:t>踏勘集中地点：</w:t>
            </w:r>
            <w:r>
              <w:rPr>
                <w:rFonts w:hint="eastAsia" w:ascii="宋体" w:hAnsi="宋体" w:cs="宋体"/>
                <w:color w:val="auto"/>
                <w:kern w:val="0"/>
                <w:sz w:val="20"/>
                <w:highlight w:val="none"/>
                <w:lang w:eastAsia="zh-CN" w:bidi="ar"/>
              </w:rPr>
              <w:t>哈密市和翔工贸有限责任公司</w:t>
            </w:r>
          </w:p>
        </w:tc>
      </w:tr>
      <w:tr>
        <w:tblPrEx>
          <w:tblCellMar>
            <w:top w:w="0" w:type="dxa"/>
            <w:left w:w="0" w:type="dxa"/>
            <w:bottom w:w="0" w:type="dxa"/>
            <w:right w:w="0" w:type="dxa"/>
          </w:tblCellMar>
        </w:tblPrEx>
        <w:trPr>
          <w:trHeight w:val="315"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12</w:t>
            </w:r>
          </w:p>
        </w:tc>
        <w:tc>
          <w:tcPr>
            <w:tcW w:w="3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谈判预备会</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w:t>
            </w:r>
            <w:r>
              <w:rPr>
                <w:rStyle w:val="74"/>
                <w:color w:val="auto"/>
                <w:highlight w:val="none"/>
                <w:lang w:bidi="ar"/>
              </w:rPr>
              <w:t>不召开</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□召开，召开时间：</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召开地点：</w:t>
            </w:r>
          </w:p>
        </w:tc>
      </w:tr>
      <w:tr>
        <w:tblPrEx>
          <w:tblCellMar>
            <w:top w:w="0" w:type="dxa"/>
            <w:left w:w="0" w:type="dxa"/>
            <w:bottom w:w="0" w:type="dxa"/>
            <w:right w:w="0" w:type="dxa"/>
          </w:tblCellMar>
        </w:tblPrEx>
        <w:trPr>
          <w:trHeight w:val="285"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13</w:t>
            </w:r>
          </w:p>
        </w:tc>
        <w:tc>
          <w:tcPr>
            <w:tcW w:w="3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分包</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425"/>
              </w:tabs>
              <w:jc w:val="center"/>
              <w:textAlignment w:val="center"/>
              <w:rPr>
                <w:rFonts w:hint="eastAsia" w:ascii="宋体" w:hAnsi="宋体" w:cs="宋体"/>
                <w:color w:val="auto"/>
                <w:sz w:val="20"/>
                <w:highlight w:val="none"/>
              </w:rPr>
            </w:pPr>
            <w:r>
              <w:rPr>
                <w:rFonts w:hint="eastAsia" w:ascii="宋体" w:hAnsi="宋体" w:eastAsia="宋体" w:cs="宋体"/>
                <w:i w:val="0"/>
                <w:color w:val="auto"/>
                <w:kern w:val="0"/>
                <w:sz w:val="20"/>
                <w:szCs w:val="20"/>
                <w:highlight w:val="none"/>
                <w:u w:val="none"/>
                <w:lang w:val="en-US" w:eastAsia="zh-CN" w:bidi="ar"/>
              </w:rPr>
              <w:t>☑</w:t>
            </w:r>
            <w:r>
              <w:rPr>
                <w:rStyle w:val="74"/>
                <w:rFonts w:hint="eastAsia" w:ascii="宋体" w:hAnsi="宋体" w:eastAsia="宋体" w:cs="宋体"/>
                <w:color w:val="auto"/>
                <w:sz w:val="20"/>
                <w:szCs w:val="20"/>
                <w:highlight w:val="none"/>
                <w:lang w:val="en-US" w:eastAsia="zh-CN" w:bidi="ar"/>
              </w:rPr>
              <w:t>不允许</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425"/>
              </w:tabs>
              <w:jc w:val="center"/>
              <w:textAlignment w:val="center"/>
              <w:rPr>
                <w:rFonts w:hint="default" w:ascii="宋体" w:hAnsi="宋体" w:cs="宋体"/>
                <w:color w:val="auto"/>
                <w:sz w:val="20"/>
                <w:highlight w:val="none"/>
                <w:lang w:val="en-US"/>
              </w:rPr>
            </w:pPr>
            <w:r>
              <w:rPr>
                <w:rFonts w:hint="eastAsia" w:ascii="宋体" w:hAnsi="宋体" w:eastAsia="宋体" w:cs="宋体"/>
                <w:i w:val="0"/>
                <w:color w:val="auto"/>
                <w:kern w:val="0"/>
                <w:sz w:val="20"/>
                <w:szCs w:val="20"/>
                <w:highlight w:val="none"/>
                <w:u w:val="none"/>
                <w:lang w:val="en-US" w:eastAsia="zh-CN" w:bidi="ar"/>
              </w:rPr>
              <w:t>□允许，分包内容要求：</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425"/>
              </w:tabs>
              <w:jc w:val="center"/>
              <w:textAlignment w:val="center"/>
              <w:rPr>
                <w:rFonts w:hint="default" w:ascii="宋体" w:hAnsi="宋体" w:eastAsia="宋体" w:cs="宋体"/>
                <w:color w:val="auto"/>
                <w:sz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分包金额要求：</w:t>
            </w:r>
          </w:p>
        </w:tc>
      </w:tr>
      <w:tr>
        <w:tblPrEx>
          <w:tblCellMar>
            <w:top w:w="0" w:type="dxa"/>
            <w:left w:w="0" w:type="dxa"/>
            <w:bottom w:w="0" w:type="dxa"/>
            <w:right w:w="0" w:type="dxa"/>
          </w:tblCellMar>
        </w:tblPrEx>
        <w:trPr>
          <w:trHeight w:val="285"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3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25"/>
              </w:tabs>
              <w:jc w:val="center"/>
              <w:rPr>
                <w:rFonts w:hint="eastAsia" w:ascii="宋体" w:hAnsi="宋体" w:cs="宋体"/>
                <w:color w:val="auto"/>
                <w:sz w:val="20"/>
                <w:highlight w:val="none"/>
              </w:rPr>
            </w:pP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425"/>
              </w:tabs>
              <w:jc w:val="center"/>
              <w:textAlignment w:val="center"/>
              <w:rPr>
                <w:rFonts w:hint="default" w:ascii="宋体" w:hAnsi="宋体" w:eastAsia="宋体" w:cs="宋体"/>
                <w:color w:val="auto"/>
                <w:sz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接受分包的第三人资质要求：</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14</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构成谈判文件的其他材料</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技术附件</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15</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谈判响应人提出澄清的时间</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谈判截止时间</w:t>
            </w:r>
            <w:r>
              <w:rPr>
                <w:rStyle w:val="66"/>
                <w:color w:val="auto"/>
                <w:highlight w:val="none"/>
                <w:lang w:bidi="ar"/>
              </w:rPr>
              <w:t xml:space="preserve"> 3</w:t>
            </w:r>
            <w:r>
              <w:rPr>
                <w:rStyle w:val="74"/>
                <w:color w:val="auto"/>
                <w:highlight w:val="none"/>
                <w:lang w:bidi="ar"/>
              </w:rPr>
              <w:t>天前</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16</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谈判人答复澄清的时间</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谈判截止时间</w:t>
            </w:r>
            <w:r>
              <w:rPr>
                <w:rStyle w:val="66"/>
                <w:color w:val="auto"/>
                <w:highlight w:val="none"/>
                <w:lang w:bidi="ar"/>
              </w:rPr>
              <w:t xml:space="preserve"> 3 </w:t>
            </w:r>
            <w:r>
              <w:rPr>
                <w:rStyle w:val="74"/>
                <w:color w:val="auto"/>
                <w:highlight w:val="none"/>
                <w:lang w:bidi="ar"/>
              </w:rPr>
              <w:t>天前</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17</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谈判有效期</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eastAsia="宋体" w:cs="宋体"/>
                <w:color w:val="auto"/>
                <w:sz w:val="20"/>
                <w:highlight w:val="none"/>
                <w:lang w:eastAsia="zh-CN"/>
              </w:rPr>
            </w:pPr>
            <w:r>
              <w:rPr>
                <w:rFonts w:hint="eastAsia" w:ascii="宋体" w:hAnsi="宋体" w:cs="宋体"/>
                <w:color w:val="auto"/>
                <w:kern w:val="0"/>
                <w:sz w:val="20"/>
                <w:highlight w:val="none"/>
                <w:lang w:bidi="ar"/>
              </w:rPr>
              <w:t>从谈判之日起</w:t>
            </w:r>
            <w:r>
              <w:rPr>
                <w:rFonts w:hint="eastAsia" w:ascii="宋体" w:hAnsi="宋体" w:cs="宋体"/>
                <w:color w:val="auto"/>
                <w:kern w:val="0"/>
                <w:sz w:val="20"/>
                <w:highlight w:val="none"/>
                <w:lang w:eastAsia="zh-CN" w:bidi="ar"/>
              </w:rPr>
              <w:t>一周</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18</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近年完成的类似项目的年份要求</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类似项目年份要求：近</w:t>
            </w:r>
            <w:r>
              <w:rPr>
                <w:rFonts w:hint="eastAsia" w:ascii="宋体" w:hAnsi="宋体" w:cs="宋体"/>
                <w:color w:val="auto"/>
                <w:kern w:val="0"/>
                <w:sz w:val="20"/>
                <w:highlight w:val="none"/>
                <w:lang w:val="en-US" w:eastAsia="zh-CN" w:bidi="ar"/>
              </w:rPr>
              <w:t>三</w:t>
            </w:r>
            <w:r>
              <w:rPr>
                <w:rFonts w:hint="eastAsia" w:ascii="宋体" w:hAnsi="宋体" w:cs="宋体"/>
                <w:color w:val="auto"/>
                <w:kern w:val="0"/>
                <w:sz w:val="20"/>
                <w:highlight w:val="none"/>
                <w:lang w:bidi="ar"/>
              </w:rPr>
              <w:t>年</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19</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近年财务审计报告的年份要求</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财务审计报告年份要求：近</w:t>
            </w:r>
            <w:r>
              <w:rPr>
                <w:rFonts w:hint="eastAsia" w:ascii="宋体" w:hAnsi="宋体" w:cs="宋体"/>
                <w:color w:val="auto"/>
                <w:kern w:val="0"/>
                <w:sz w:val="20"/>
                <w:highlight w:val="none"/>
                <w:lang w:eastAsia="zh-CN" w:bidi="ar"/>
              </w:rPr>
              <w:t>一</w:t>
            </w:r>
            <w:r>
              <w:rPr>
                <w:rFonts w:hint="eastAsia" w:ascii="宋体" w:hAnsi="宋体" w:cs="宋体"/>
                <w:color w:val="auto"/>
                <w:kern w:val="0"/>
                <w:sz w:val="20"/>
                <w:highlight w:val="none"/>
                <w:lang w:bidi="ar"/>
              </w:rPr>
              <w:t>年</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20</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近年发生的诉讼及仲裁情况的年份要求</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近三年</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21</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是否允许递交备选投标方案</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不允许</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22</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递交谈判文件地点</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见谈判公告</w:t>
            </w:r>
          </w:p>
        </w:tc>
      </w:tr>
      <w:tr>
        <w:tblPrEx>
          <w:tblCellMar>
            <w:top w:w="0" w:type="dxa"/>
            <w:left w:w="0" w:type="dxa"/>
            <w:bottom w:w="0" w:type="dxa"/>
            <w:right w:w="0" w:type="dxa"/>
          </w:tblCellMar>
        </w:tblPrEx>
        <w:trPr>
          <w:trHeight w:val="285"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23</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是否退还谈判文件</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否</w:t>
            </w:r>
          </w:p>
        </w:tc>
      </w:tr>
      <w:tr>
        <w:tblPrEx>
          <w:tblCellMar>
            <w:top w:w="0" w:type="dxa"/>
            <w:left w:w="0" w:type="dxa"/>
            <w:bottom w:w="0" w:type="dxa"/>
            <w:right w:w="0" w:type="dxa"/>
          </w:tblCellMar>
        </w:tblPrEx>
        <w:trPr>
          <w:trHeight w:val="90" w:hRule="atLeast"/>
          <w:jc w:val="center"/>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24</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center"/>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是否授权谈判委员会确定谈判响应人</w:t>
            </w:r>
          </w:p>
        </w:tc>
        <w:tc>
          <w:tcPr>
            <w:tcW w:w="5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25"/>
              </w:tabs>
              <w:jc w:val="left"/>
              <w:textAlignment w:val="center"/>
              <w:rPr>
                <w:rFonts w:hint="eastAsia" w:ascii="宋体" w:hAnsi="宋体" w:cs="宋体"/>
                <w:color w:val="auto"/>
                <w:sz w:val="20"/>
                <w:highlight w:val="none"/>
              </w:rPr>
            </w:pPr>
            <w:r>
              <w:rPr>
                <w:rFonts w:hint="eastAsia" w:ascii="宋体" w:hAnsi="宋体" w:cs="宋体"/>
                <w:color w:val="auto"/>
                <w:kern w:val="0"/>
                <w:sz w:val="20"/>
                <w:highlight w:val="none"/>
                <w:lang w:bidi="ar"/>
              </w:rPr>
              <w:t>否，推荐的谈判候选人数：按照得分由高到低的顺序推荐三名中标候选人</w:t>
            </w:r>
          </w:p>
        </w:tc>
      </w:tr>
    </w:tbl>
    <w:p>
      <w:pPr>
        <w:spacing w:line="360" w:lineRule="auto"/>
        <w:rPr>
          <w:rFonts w:hint="eastAsia" w:ascii="宋体" w:hAnsi="宋体" w:cs="宋体"/>
          <w:color w:val="auto"/>
          <w:w w:val="99"/>
          <w:kern w:val="0"/>
          <w:sz w:val="20"/>
          <w:highlight w:val="none"/>
        </w:rPr>
      </w:pPr>
    </w:p>
    <w:p>
      <w:pPr>
        <w:pStyle w:val="28"/>
        <w:ind w:firstLine="400"/>
        <w:rPr>
          <w:rFonts w:hint="eastAsia" w:ascii="宋体" w:hAnsi="宋体" w:cs="宋体"/>
          <w:color w:val="auto"/>
          <w:sz w:val="20"/>
          <w:szCs w:val="20"/>
          <w:highlight w:val="none"/>
        </w:rPr>
      </w:pPr>
    </w:p>
    <w:p>
      <w:pPr>
        <w:pStyle w:val="88"/>
        <w:widowControl/>
        <w:numPr>
          <w:ilvl w:val="0"/>
          <w:numId w:val="0"/>
        </w:numPr>
        <w:tabs>
          <w:tab w:val="clear" w:pos="600"/>
        </w:tabs>
        <w:overflowPunct w:val="0"/>
        <w:spacing w:line="400" w:lineRule="exact"/>
        <w:ind w:firstLine="420"/>
        <w:jc w:val="both"/>
        <w:rPr>
          <w:rFonts w:hint="eastAsia" w:ascii="宋体" w:hAnsi="宋体" w:cs="宋体"/>
          <w:color w:val="auto"/>
          <w:sz w:val="20"/>
          <w:highlight w:val="none"/>
          <w:lang w:bidi="ar"/>
        </w:rPr>
      </w:pPr>
      <w:bookmarkStart w:id="0" w:name="_Toc478736669"/>
      <w:bookmarkStart w:id="1" w:name="_Toc405303161"/>
    </w:p>
    <w:p>
      <w:pPr>
        <w:pStyle w:val="88"/>
        <w:widowControl/>
        <w:numPr>
          <w:ilvl w:val="0"/>
          <w:numId w:val="0"/>
        </w:numPr>
        <w:tabs>
          <w:tab w:val="clear" w:pos="600"/>
        </w:tabs>
        <w:overflowPunct w:val="0"/>
        <w:spacing w:line="400" w:lineRule="exact"/>
        <w:ind w:firstLine="420"/>
        <w:jc w:val="both"/>
        <w:rPr>
          <w:rFonts w:hint="eastAsia" w:ascii="宋体" w:hAnsi="宋体" w:cs="宋体"/>
          <w:color w:val="auto"/>
          <w:sz w:val="20"/>
          <w:highlight w:val="none"/>
          <w:lang w:bidi="ar"/>
        </w:rPr>
      </w:pPr>
    </w:p>
    <w:p>
      <w:pPr>
        <w:pStyle w:val="88"/>
        <w:widowControl/>
        <w:numPr>
          <w:ilvl w:val="0"/>
          <w:numId w:val="0"/>
        </w:numPr>
        <w:tabs>
          <w:tab w:val="clear" w:pos="600"/>
        </w:tabs>
        <w:overflowPunct w:val="0"/>
        <w:spacing w:line="400" w:lineRule="exact"/>
        <w:ind w:firstLine="420"/>
        <w:jc w:val="both"/>
        <w:rPr>
          <w:rFonts w:hint="eastAsia" w:ascii="宋体" w:hAnsi="宋体" w:cs="宋体"/>
          <w:color w:val="auto"/>
          <w:sz w:val="20"/>
          <w:highlight w:val="none"/>
          <w:lang w:bidi="ar"/>
        </w:rPr>
      </w:pPr>
      <w:r>
        <w:rPr>
          <w:rFonts w:hint="eastAsia" w:ascii="宋体" w:hAnsi="宋体" w:cs="宋体"/>
          <w:color w:val="auto"/>
          <w:sz w:val="20"/>
          <w:highlight w:val="none"/>
          <w:lang w:bidi="ar"/>
        </w:rPr>
        <w:t>一、总则</w:t>
      </w:r>
      <w:bookmarkEnd w:id="0"/>
      <w:bookmarkEnd w:id="1"/>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1.项目概况</w:t>
      </w:r>
    </w:p>
    <w:p>
      <w:pPr>
        <w:pStyle w:val="87"/>
        <w:widowControl/>
        <w:numPr>
          <w:ilvl w:val="0"/>
          <w:numId w:val="0"/>
        </w:numPr>
        <w:tabs>
          <w:tab w:val="clear" w:pos="840"/>
        </w:tabs>
        <w:overflowPunct w:val="0"/>
        <w:spacing w:line="400" w:lineRule="exact"/>
        <w:ind w:right="-105" w:rightChars="-50" w:firstLine="408" w:firstLineChars="200"/>
        <w:jc w:val="both"/>
        <w:rPr>
          <w:rFonts w:hint="eastAsia" w:cs="宋体"/>
          <w:color w:val="auto"/>
          <w:sz w:val="20"/>
          <w:szCs w:val="20"/>
          <w:highlight w:val="none"/>
          <w:lang w:bidi="ar"/>
        </w:rPr>
      </w:pPr>
      <w:r>
        <w:rPr>
          <w:rFonts w:hint="eastAsia" w:cs="宋体"/>
          <w:color w:val="auto"/>
          <w:sz w:val="20"/>
          <w:szCs w:val="20"/>
          <w:highlight w:val="none"/>
          <w:lang w:bidi="ar"/>
        </w:rPr>
        <w:t>（1）根据《中华人民共和国招标投标法》等有关法律、法规和规章的规定，本谈判项目已具备谈判条件，现对本项目进行公开竞争性谈判；</w:t>
      </w:r>
    </w:p>
    <w:p>
      <w:pPr>
        <w:pStyle w:val="87"/>
        <w:widowControl/>
        <w:numPr>
          <w:ilvl w:val="2"/>
          <w:numId w:val="0"/>
        </w:numPr>
        <w:tabs>
          <w:tab w:val="clear" w:pos="840"/>
        </w:tabs>
        <w:overflowPunct w:val="0"/>
        <w:spacing w:line="400" w:lineRule="exact"/>
        <w:ind w:right="-105" w:rightChars="-50" w:firstLine="420"/>
        <w:jc w:val="both"/>
        <w:rPr>
          <w:rFonts w:hint="eastAsia" w:cs="宋体"/>
          <w:color w:val="auto"/>
          <w:sz w:val="20"/>
          <w:szCs w:val="20"/>
          <w:highlight w:val="none"/>
          <w:lang w:bidi="ar"/>
        </w:rPr>
      </w:pPr>
      <w:r>
        <w:rPr>
          <w:rFonts w:hint="eastAsia" w:cs="宋体"/>
          <w:color w:val="auto"/>
          <w:sz w:val="20"/>
          <w:szCs w:val="20"/>
          <w:highlight w:val="none"/>
          <w:lang w:bidi="ar"/>
        </w:rPr>
        <w:t>（2）本谈判项目谈判人：见谈判响应人须知前附表；</w:t>
      </w:r>
    </w:p>
    <w:p>
      <w:pPr>
        <w:pStyle w:val="87"/>
        <w:widowControl/>
        <w:numPr>
          <w:ilvl w:val="2"/>
          <w:numId w:val="0"/>
        </w:numPr>
        <w:tabs>
          <w:tab w:val="clear" w:pos="840"/>
        </w:tabs>
        <w:overflowPunct w:val="0"/>
        <w:spacing w:line="400" w:lineRule="exact"/>
        <w:ind w:right="-105" w:rightChars="-50" w:firstLine="420"/>
        <w:jc w:val="both"/>
        <w:rPr>
          <w:rFonts w:hint="eastAsia" w:cs="宋体"/>
          <w:color w:val="auto"/>
          <w:sz w:val="20"/>
          <w:szCs w:val="20"/>
          <w:highlight w:val="none"/>
          <w:lang w:bidi="ar"/>
        </w:rPr>
      </w:pPr>
      <w:r>
        <w:rPr>
          <w:rFonts w:hint="eastAsia" w:cs="宋体"/>
          <w:color w:val="auto"/>
          <w:sz w:val="20"/>
          <w:szCs w:val="20"/>
          <w:highlight w:val="none"/>
          <w:lang w:bidi="ar"/>
        </w:rPr>
        <w:t>（3）本谈判项目名称：见谈判响应人须知前附表；</w:t>
      </w:r>
    </w:p>
    <w:p>
      <w:pPr>
        <w:pStyle w:val="87"/>
        <w:widowControl/>
        <w:numPr>
          <w:ilvl w:val="2"/>
          <w:numId w:val="0"/>
        </w:numPr>
        <w:tabs>
          <w:tab w:val="clear" w:pos="840"/>
        </w:tabs>
        <w:overflowPunct w:val="0"/>
        <w:spacing w:line="400" w:lineRule="exact"/>
        <w:ind w:right="-105" w:rightChars="-50" w:firstLine="420"/>
        <w:jc w:val="both"/>
        <w:rPr>
          <w:rFonts w:hint="eastAsia" w:cs="宋体"/>
          <w:color w:val="auto"/>
          <w:sz w:val="20"/>
          <w:szCs w:val="20"/>
          <w:highlight w:val="none"/>
          <w:lang w:bidi="ar"/>
        </w:rPr>
      </w:pPr>
      <w:r>
        <w:rPr>
          <w:rFonts w:hint="eastAsia" w:cs="宋体"/>
          <w:color w:val="auto"/>
          <w:sz w:val="20"/>
          <w:szCs w:val="20"/>
          <w:highlight w:val="none"/>
          <w:lang w:bidi="ar"/>
        </w:rPr>
        <w:t>（4）本谈判项目建设地点：见谈判响应人须知前附表。</w:t>
      </w:r>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2.资金来源和落实情况</w:t>
      </w:r>
    </w:p>
    <w:p>
      <w:pPr>
        <w:pStyle w:val="87"/>
        <w:widowControl/>
        <w:numPr>
          <w:ilvl w:val="0"/>
          <w:numId w:val="0"/>
        </w:numPr>
        <w:tabs>
          <w:tab w:val="clear" w:pos="840"/>
        </w:tabs>
        <w:overflowPunct w:val="0"/>
        <w:spacing w:line="400" w:lineRule="exact"/>
        <w:ind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（1）本谈判项目的资金来源：见谈判响应人须知前附表；</w:t>
      </w:r>
    </w:p>
    <w:p>
      <w:pPr>
        <w:pStyle w:val="87"/>
        <w:widowControl/>
        <w:numPr>
          <w:ilvl w:val="0"/>
          <w:numId w:val="0"/>
        </w:numPr>
        <w:tabs>
          <w:tab w:val="clear" w:pos="840"/>
        </w:tabs>
        <w:overflowPunct w:val="0"/>
        <w:spacing w:line="400" w:lineRule="exact"/>
        <w:ind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（2）本谈判项目的资金落实情况：见谈判响应人须知前附表。</w:t>
      </w:r>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3.谈判范围、计划工期和质量要求</w:t>
      </w:r>
    </w:p>
    <w:p>
      <w:pPr>
        <w:pStyle w:val="87"/>
        <w:widowControl/>
        <w:numPr>
          <w:ilvl w:val="0"/>
          <w:numId w:val="0"/>
        </w:numPr>
        <w:tabs>
          <w:tab w:val="clear" w:pos="840"/>
        </w:tabs>
        <w:overflowPunct w:val="0"/>
        <w:spacing w:line="400" w:lineRule="exact"/>
        <w:ind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详见附件4.</w:t>
      </w:r>
      <w:r>
        <w:rPr>
          <w:rFonts w:hint="eastAsia" w:cs="宋体"/>
          <w:color w:val="auto"/>
          <w:spacing w:val="0"/>
          <w:sz w:val="20"/>
          <w:szCs w:val="20"/>
          <w:highlight w:val="none"/>
          <w:shd w:val="clear" w:color="auto" w:fill="FFFFFF"/>
        </w:rPr>
        <w:t>《技术要求</w:t>
      </w:r>
      <w:r>
        <w:rPr>
          <w:rFonts w:hint="eastAsia" w:cs="宋体"/>
          <w:color w:val="auto"/>
          <w:spacing w:val="0"/>
          <w:sz w:val="20"/>
          <w:szCs w:val="20"/>
          <w:highlight w:val="none"/>
          <w:shd w:val="clear" w:color="auto" w:fill="FFFFFF"/>
        </w:rPr>
        <w:t>》</w:t>
      </w:r>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4.谈判响应人资格要求</w:t>
      </w:r>
    </w:p>
    <w:p>
      <w:pPr>
        <w:pStyle w:val="77"/>
        <w:spacing w:line="400" w:lineRule="exact"/>
        <w:rPr>
          <w:rFonts w:hint="eastAsia" w:ascii="宋体" w:hAnsi="宋体" w:cs="宋体"/>
          <w:color w:val="auto"/>
          <w:sz w:val="20"/>
          <w:highlight w:val="none"/>
        </w:rPr>
      </w:pPr>
      <w:r>
        <w:rPr>
          <w:rFonts w:hint="eastAsia" w:ascii="宋体" w:hAnsi="宋体" w:cs="宋体"/>
          <w:color w:val="auto"/>
          <w:sz w:val="20"/>
          <w:highlight w:val="none"/>
        </w:rPr>
        <w:t>窗体顶端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pPr>
      <w:r>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t>1.谈判响应人须响应人必须为在中国境内注册、具有独立企业法人资格，能在国内合法提供谈判项目相应服务的服务商，经营范围需具备锅炉大修等项目；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pPr>
      <w:r>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t>2.</w:t>
      </w:r>
      <w:r>
        <w:rPr>
          <w:rFonts w:hint="eastAsia" w:asciiTheme="minorEastAsia" w:hAnsiTheme="minorEastAsia" w:eastAsiaTheme="minorEastAsia" w:cstheme="minorEastAsia"/>
          <w:color w:val="auto"/>
          <w:kern w:val="0"/>
          <w:sz w:val="21"/>
          <w:szCs w:val="21"/>
          <w:highlight w:val="none"/>
          <w:shd w:val="clear" w:color="auto" w:fill="FFFFFF"/>
          <w:lang w:val="en-US" w:eastAsia="zh-CN" w:bidi="ar-SA"/>
        </w:rPr>
        <w:t>谈判</w:t>
      </w:r>
      <w:r>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t>响应人必须提供近一年类似项目业绩合同（至少2份）；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pPr>
      <w:r>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t>3.</w:t>
      </w:r>
      <w:r>
        <w:rPr>
          <w:rFonts w:hint="eastAsia" w:asciiTheme="minorEastAsia" w:hAnsiTheme="minorEastAsia" w:eastAsiaTheme="minorEastAsia" w:cstheme="minorEastAsia"/>
          <w:color w:val="auto"/>
          <w:kern w:val="0"/>
          <w:sz w:val="21"/>
          <w:szCs w:val="21"/>
          <w:highlight w:val="none"/>
          <w:shd w:val="clear" w:color="auto" w:fill="FFFFFF"/>
          <w:lang w:val="en-US" w:eastAsia="zh-CN" w:bidi="ar-SA"/>
        </w:rPr>
        <w:t>谈判</w:t>
      </w:r>
      <w:r>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t>响应人必须提供近一年财务审计报告。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pPr>
      <w:r>
        <w:rPr>
          <w:rFonts w:hint="eastAsia" w:asciiTheme="minorEastAsia" w:hAnsiTheme="minorEastAsia" w:eastAsiaTheme="minorEastAsia" w:cstheme="minorEastAsia"/>
          <w:color w:val="auto"/>
          <w:kern w:val="0"/>
          <w:sz w:val="21"/>
          <w:szCs w:val="21"/>
          <w:highlight w:val="none"/>
          <w:shd w:val="clear" w:color="auto" w:fill="FFFFFF"/>
          <w:lang w:val="en-US" w:eastAsia="zh-CN" w:bidi="ar-SA"/>
        </w:rPr>
        <w:t>4</w:t>
      </w:r>
      <w:r>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t>.锅炉大修二级及以上资质。</w:t>
      </w:r>
    </w:p>
    <w:p>
      <w:pPr>
        <w:pStyle w:val="26"/>
        <w:widowControl/>
        <w:shd w:val="clear" w:color="auto" w:fill="FFFFFF"/>
        <w:spacing w:before="0" w:beforeAutospacing="0" w:after="0" w:afterAutospacing="0" w:line="340" w:lineRule="atLeast"/>
        <w:ind w:firstLine="420" w:firstLineChars="200"/>
        <w:jc w:val="both"/>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pPr>
      <w:r>
        <w:rPr>
          <w:rFonts w:hint="eastAsia" w:asciiTheme="minorEastAsia" w:hAnsiTheme="minorEastAsia" w:eastAsiaTheme="minorEastAsia" w:cstheme="minorEastAsia"/>
          <w:color w:val="auto"/>
          <w:kern w:val="0"/>
          <w:sz w:val="21"/>
          <w:szCs w:val="21"/>
          <w:highlight w:val="none"/>
          <w:shd w:val="clear" w:color="auto" w:fill="FFFFFF"/>
          <w:lang w:val="en-US" w:eastAsia="zh-CN" w:bidi="ar-SA"/>
        </w:rPr>
        <w:t>5</w:t>
      </w:r>
      <w:r>
        <w:rPr>
          <w:rFonts w:hint="default" w:asciiTheme="minorEastAsia" w:hAnsiTheme="minorEastAsia" w:eastAsiaTheme="minorEastAsia" w:cstheme="minorEastAsia"/>
          <w:color w:val="auto"/>
          <w:kern w:val="0"/>
          <w:sz w:val="21"/>
          <w:szCs w:val="21"/>
          <w:highlight w:val="none"/>
          <w:shd w:val="clear" w:color="auto" w:fill="FFFFFF"/>
          <w:lang w:val="en-US" w:eastAsia="zh-CN" w:bidi="ar-SA"/>
        </w:rPr>
        <w:t>.不接受联合体投标。</w:t>
      </w:r>
    </w:p>
    <w:p>
      <w:pPr>
        <w:pStyle w:val="84"/>
        <w:spacing w:line="400" w:lineRule="exact"/>
        <w:rPr>
          <w:rFonts w:hint="eastAsia" w:ascii="宋体" w:hAnsi="宋体" w:cs="宋体"/>
          <w:color w:val="auto"/>
          <w:sz w:val="20"/>
          <w:highlight w:val="none"/>
        </w:rPr>
      </w:pPr>
      <w:r>
        <w:rPr>
          <w:rFonts w:hint="eastAsia" w:ascii="宋体" w:hAnsi="宋体" w:cs="宋体"/>
          <w:color w:val="auto"/>
          <w:sz w:val="20"/>
          <w:highlight w:val="none"/>
        </w:rPr>
        <w:t>窗体底端</w:t>
      </w:r>
    </w:p>
    <w:p>
      <w:pPr>
        <w:widowControl/>
        <w:overflowPunct w:val="0"/>
        <w:autoSpaceDE w:val="0"/>
        <w:autoSpaceDN w:val="0"/>
        <w:adjustRightInd w:val="0"/>
        <w:snapToGrid w:val="0"/>
        <w:spacing w:line="400" w:lineRule="exact"/>
        <w:ind w:left="420" w:leftChars="200" w:right="-20"/>
        <w:rPr>
          <w:rFonts w:hint="eastAsia" w:ascii="宋体" w:hAnsi="宋体" w:cs="宋体"/>
          <w:b/>
          <w:bCs/>
          <w:color w:val="auto"/>
          <w:kern w:val="0"/>
          <w:sz w:val="20"/>
          <w:highlight w:val="none"/>
          <w:lang w:bidi="ar"/>
        </w:rPr>
      </w:pPr>
      <w:r>
        <w:rPr>
          <w:rFonts w:hint="eastAsia" w:ascii="宋体" w:hAnsi="宋体" w:cs="宋体"/>
          <w:b/>
          <w:bCs/>
          <w:color w:val="auto"/>
          <w:kern w:val="0"/>
          <w:sz w:val="20"/>
          <w:highlight w:val="none"/>
          <w:lang w:bidi="ar"/>
        </w:rPr>
        <w:t>5.费用承担</w:t>
      </w:r>
    </w:p>
    <w:p>
      <w:pPr>
        <w:widowControl/>
        <w:overflowPunct w:val="0"/>
        <w:autoSpaceDE w:val="0"/>
        <w:autoSpaceDN w:val="0"/>
        <w:adjustRightInd w:val="0"/>
        <w:snapToGrid w:val="0"/>
        <w:spacing w:before="28" w:line="400" w:lineRule="exact"/>
        <w:ind w:right="6"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谈判响应人准备和参加投标活动发生的费用自理。</w:t>
      </w:r>
    </w:p>
    <w:p>
      <w:pPr>
        <w:widowControl/>
        <w:overflowPunct w:val="0"/>
        <w:autoSpaceDE w:val="0"/>
        <w:autoSpaceDN w:val="0"/>
        <w:adjustRightInd w:val="0"/>
        <w:snapToGrid w:val="0"/>
        <w:spacing w:before="28" w:line="400" w:lineRule="exact"/>
        <w:ind w:right="6" w:firstLine="420"/>
        <w:rPr>
          <w:rFonts w:hint="eastAsia" w:ascii="宋体" w:hAnsi="宋体" w:cs="宋体"/>
          <w:b/>
          <w:bCs/>
          <w:color w:val="auto"/>
          <w:kern w:val="0"/>
          <w:sz w:val="20"/>
          <w:highlight w:val="none"/>
          <w:lang w:bidi="ar"/>
        </w:rPr>
      </w:pPr>
      <w:r>
        <w:rPr>
          <w:rFonts w:hint="eastAsia" w:ascii="宋体" w:hAnsi="宋体" w:cs="宋体"/>
          <w:b/>
          <w:bCs/>
          <w:color w:val="auto"/>
          <w:kern w:val="0"/>
          <w:sz w:val="20"/>
          <w:highlight w:val="none"/>
          <w:lang w:bidi="ar"/>
        </w:rPr>
        <w:t>6.保密</w:t>
      </w:r>
    </w:p>
    <w:p>
      <w:pPr>
        <w:widowControl/>
        <w:overflowPunct w:val="0"/>
        <w:autoSpaceDE w:val="0"/>
        <w:autoSpaceDN w:val="0"/>
        <w:adjustRightInd w:val="0"/>
        <w:snapToGrid w:val="0"/>
        <w:spacing w:before="28" w:line="400" w:lineRule="exact"/>
        <w:ind w:right="6"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参与谈判活动的各方应对谈判文件和谈判文件中的商业和技术等秘密保密，违者应对由此造成的后果承担法律责任。</w:t>
      </w:r>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7.语言文字</w:t>
      </w:r>
    </w:p>
    <w:p>
      <w:pPr>
        <w:widowControl/>
        <w:overflowPunct w:val="0"/>
        <w:autoSpaceDE w:val="0"/>
        <w:autoSpaceDN w:val="0"/>
        <w:adjustRightInd w:val="0"/>
        <w:snapToGrid w:val="0"/>
        <w:spacing w:before="28" w:line="400" w:lineRule="exact"/>
        <w:ind w:right="6"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除专用术语外，与招标投标有关的语言均使用中文。必要时专用术语应附有中文注释。</w:t>
      </w:r>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8.计量单位</w:t>
      </w:r>
    </w:p>
    <w:p>
      <w:pPr>
        <w:widowControl/>
        <w:overflowPunct w:val="0"/>
        <w:autoSpaceDE w:val="0"/>
        <w:autoSpaceDN w:val="0"/>
        <w:adjustRightInd w:val="0"/>
        <w:snapToGrid w:val="0"/>
        <w:spacing w:before="28" w:line="400" w:lineRule="exact"/>
        <w:ind w:right="6"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所有计量均采用中华人民共和国法定计量单位。</w:t>
      </w:r>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9.踏勘现场</w:t>
      </w:r>
    </w:p>
    <w:p>
      <w:pPr>
        <w:pStyle w:val="87"/>
        <w:widowControl/>
        <w:numPr>
          <w:ilvl w:val="0"/>
          <w:numId w:val="0"/>
        </w:numPr>
        <w:tabs>
          <w:tab w:val="clear" w:pos="840"/>
        </w:tabs>
        <w:overflowPunct w:val="0"/>
        <w:spacing w:line="400" w:lineRule="exact"/>
        <w:ind w:right="-105" w:rightChars="-50" w:firstLine="420"/>
        <w:jc w:val="both"/>
        <w:rPr>
          <w:rFonts w:hint="eastAsia" w:cs="宋体"/>
          <w:color w:val="auto"/>
          <w:sz w:val="20"/>
          <w:szCs w:val="20"/>
          <w:highlight w:val="none"/>
          <w:lang w:bidi="ar"/>
        </w:rPr>
      </w:pPr>
      <w:r>
        <w:rPr>
          <w:rFonts w:hint="eastAsia" w:cs="宋体"/>
          <w:color w:val="auto"/>
          <w:sz w:val="20"/>
          <w:szCs w:val="20"/>
          <w:highlight w:val="none"/>
          <w:lang w:bidi="ar"/>
        </w:rPr>
        <w:t>（1）谈判响应人须知前附表规定组织踏勘现场的，谈判人按谈判响应人须知前附表规定的时间、地点组织谈判响应人踏勘项目现场：</w:t>
      </w:r>
    </w:p>
    <w:p>
      <w:pPr>
        <w:widowControl/>
        <w:overflowPunct w:val="0"/>
        <w:autoSpaceDE w:val="0"/>
        <w:autoSpaceDN w:val="0"/>
        <w:adjustRightInd w:val="0"/>
        <w:snapToGrid w:val="0"/>
        <w:spacing w:line="400" w:lineRule="exact"/>
        <w:ind w:right="-20"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①谈判响应人踏勘现场发生的费用自理；</w:t>
      </w:r>
    </w:p>
    <w:p>
      <w:pPr>
        <w:widowControl/>
        <w:overflowPunct w:val="0"/>
        <w:autoSpaceDE w:val="0"/>
        <w:autoSpaceDN w:val="0"/>
        <w:adjustRightInd w:val="0"/>
        <w:snapToGrid w:val="0"/>
        <w:spacing w:line="400" w:lineRule="exact"/>
        <w:ind w:right="-20"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②除谈判人的原因外，谈判响应人自行负责在踏勘现场中所发生的人员伤亡和财产损失。</w:t>
      </w:r>
    </w:p>
    <w:p>
      <w:pPr>
        <w:pStyle w:val="28"/>
        <w:ind w:left="0" w:leftChars="0" w:firstLine="400" w:firstLineChars="200"/>
        <w:rPr>
          <w:rFonts w:hint="eastAsia" w:eastAsia="宋体"/>
          <w:color w:val="auto"/>
          <w:sz w:val="20"/>
          <w:szCs w:val="22"/>
          <w:highlight w:val="none"/>
          <w:lang w:eastAsia="zh-CN"/>
        </w:rPr>
      </w:pPr>
      <w:r>
        <w:rPr>
          <w:rFonts w:hint="eastAsia"/>
          <w:color w:val="auto"/>
          <w:sz w:val="20"/>
          <w:szCs w:val="22"/>
          <w:highlight w:val="none"/>
        </w:rPr>
        <w:t>③</w:t>
      </w:r>
      <w:r>
        <w:rPr>
          <w:rFonts w:hint="eastAsia"/>
          <w:color w:val="auto"/>
          <w:sz w:val="20"/>
          <w:szCs w:val="22"/>
          <w:highlight w:val="none"/>
          <w:lang w:eastAsia="zh-CN"/>
        </w:rPr>
        <w:t>谈判响应人设备、场地、人员资质必须以技术形式发招标方。</w:t>
      </w:r>
    </w:p>
    <w:p>
      <w:pPr>
        <w:pStyle w:val="28"/>
        <w:ind w:left="0" w:leftChars="0" w:firstLine="400" w:firstLineChars="200"/>
        <w:rPr>
          <w:rFonts w:hint="eastAsia" w:eastAsia="宋体"/>
          <w:color w:val="auto"/>
          <w:sz w:val="20"/>
          <w:szCs w:val="22"/>
          <w:highlight w:val="none"/>
          <w:lang w:eastAsia="zh-CN"/>
        </w:rPr>
      </w:pPr>
      <w:r>
        <w:rPr>
          <w:rFonts w:hint="eastAsia"/>
          <w:color w:val="auto"/>
          <w:sz w:val="20"/>
          <w:szCs w:val="22"/>
          <w:highlight w:val="none"/>
        </w:rPr>
        <w:t>④</w:t>
      </w:r>
      <w:r>
        <w:rPr>
          <w:rFonts w:hint="eastAsia"/>
          <w:color w:val="auto"/>
          <w:sz w:val="20"/>
          <w:szCs w:val="22"/>
          <w:highlight w:val="none"/>
          <w:lang w:eastAsia="zh-CN"/>
        </w:rPr>
        <w:t>规定时间内踏勘现场的谈判人评分占技术部分</w:t>
      </w:r>
      <w:r>
        <w:rPr>
          <w:rFonts w:hint="eastAsia"/>
          <w:color w:val="auto"/>
          <w:sz w:val="20"/>
          <w:szCs w:val="22"/>
          <w:highlight w:val="none"/>
          <w:lang w:val="en-US" w:eastAsia="zh-CN"/>
        </w:rPr>
        <w:t>1-2分</w:t>
      </w:r>
      <w:r>
        <w:rPr>
          <w:rFonts w:hint="eastAsia"/>
          <w:color w:val="auto"/>
          <w:sz w:val="20"/>
          <w:szCs w:val="22"/>
          <w:highlight w:val="none"/>
          <w:lang w:eastAsia="zh-CN"/>
        </w:rPr>
        <w:t>。</w:t>
      </w:r>
    </w:p>
    <w:p>
      <w:pPr>
        <w:pStyle w:val="87"/>
        <w:widowControl/>
        <w:numPr>
          <w:ilvl w:val="0"/>
          <w:numId w:val="0"/>
        </w:numPr>
        <w:tabs>
          <w:tab w:val="clear" w:pos="840"/>
        </w:tabs>
        <w:overflowPunct w:val="0"/>
        <w:spacing w:line="400" w:lineRule="exact"/>
        <w:ind w:right="-105" w:rightChars="-50" w:firstLine="420"/>
        <w:jc w:val="both"/>
        <w:rPr>
          <w:rFonts w:hint="eastAsia" w:cs="宋体"/>
          <w:color w:val="auto"/>
          <w:sz w:val="20"/>
          <w:szCs w:val="20"/>
          <w:highlight w:val="none"/>
          <w:lang w:bidi="ar"/>
        </w:rPr>
      </w:pPr>
      <w:r>
        <w:rPr>
          <w:rFonts w:hint="eastAsia" w:cs="宋体"/>
          <w:color w:val="auto"/>
          <w:sz w:val="20"/>
          <w:szCs w:val="20"/>
          <w:highlight w:val="none"/>
          <w:lang w:bidi="ar"/>
        </w:rPr>
        <w:t>（2）谈判人在踏勘现场中介绍的工程场地和相关的周边环境情况，供谈判响应人在编制谈判文件时参考，谈判人不对谈判响应人据此作出的判断和决策负责。</w:t>
      </w:r>
    </w:p>
    <w:p>
      <w:pPr>
        <w:pStyle w:val="88"/>
        <w:widowControl/>
        <w:numPr>
          <w:ilvl w:val="0"/>
          <w:numId w:val="0"/>
        </w:numPr>
        <w:tabs>
          <w:tab w:val="clear" w:pos="600"/>
        </w:tabs>
        <w:overflowPunct w:val="0"/>
        <w:spacing w:line="400" w:lineRule="exact"/>
        <w:ind w:firstLine="420"/>
        <w:jc w:val="both"/>
        <w:rPr>
          <w:rFonts w:hint="eastAsia" w:ascii="宋体" w:hAnsi="宋体" w:cs="宋体"/>
          <w:color w:val="auto"/>
          <w:sz w:val="20"/>
          <w:highlight w:val="none"/>
          <w:lang w:bidi="ar"/>
        </w:rPr>
      </w:pPr>
      <w:bookmarkStart w:id="2" w:name="_Toc478736670"/>
      <w:bookmarkStart w:id="3" w:name="_Toc405303162"/>
      <w:r>
        <w:rPr>
          <w:rFonts w:hint="eastAsia" w:ascii="宋体" w:hAnsi="宋体" w:cs="宋体"/>
          <w:color w:val="auto"/>
          <w:sz w:val="20"/>
          <w:highlight w:val="none"/>
          <w:lang w:bidi="ar"/>
        </w:rPr>
        <w:t>二、谈判文件</w:t>
      </w:r>
      <w:bookmarkEnd w:id="2"/>
      <w:bookmarkEnd w:id="3"/>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1.谈判文件的组成</w:t>
      </w:r>
    </w:p>
    <w:p>
      <w:pPr>
        <w:widowControl/>
        <w:overflowPunct w:val="0"/>
        <w:autoSpaceDE w:val="0"/>
        <w:autoSpaceDN w:val="0"/>
        <w:adjustRightInd w:val="0"/>
        <w:snapToGrid w:val="0"/>
        <w:spacing w:line="400" w:lineRule="exact"/>
        <w:ind w:left="-105" w:leftChars="-50"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（1）本谈判文件包括：</w:t>
      </w:r>
    </w:p>
    <w:p>
      <w:pPr>
        <w:widowControl/>
        <w:overflowPunct w:val="0"/>
        <w:autoSpaceDE w:val="0"/>
        <w:autoSpaceDN w:val="0"/>
        <w:adjustRightInd w:val="0"/>
        <w:snapToGrid w:val="0"/>
        <w:spacing w:before="37" w:line="400" w:lineRule="exact"/>
        <w:ind w:right="-20" w:firstLine="420"/>
        <w:rPr>
          <w:rFonts w:hint="eastAsia" w:ascii="宋体" w:hAnsi="宋体" w:cs="宋体"/>
          <w:color w:val="auto"/>
          <w:kern w:val="0"/>
          <w:sz w:val="20"/>
          <w:highlight w:val="none"/>
          <w:lang w:bidi="ar"/>
        </w:rPr>
      </w:pPr>
      <w:bookmarkStart w:id="4" w:name="_Toc478736671"/>
      <w:bookmarkStart w:id="5" w:name="_Toc405303163"/>
      <w:r>
        <w:rPr>
          <w:rFonts w:hint="eastAsia" w:ascii="宋体" w:hAnsi="宋体" w:cs="宋体"/>
          <w:color w:val="auto"/>
          <w:kern w:val="0"/>
          <w:sz w:val="20"/>
          <w:highlight w:val="none"/>
          <w:lang w:bidi="ar"/>
        </w:rPr>
        <w:t>①谈判响应人须知；</w:t>
      </w:r>
    </w:p>
    <w:p>
      <w:pPr>
        <w:widowControl/>
        <w:overflowPunct w:val="0"/>
        <w:autoSpaceDE w:val="0"/>
        <w:autoSpaceDN w:val="0"/>
        <w:adjustRightInd w:val="0"/>
        <w:snapToGrid w:val="0"/>
        <w:spacing w:before="36" w:line="400" w:lineRule="exact"/>
        <w:ind w:right="-20"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②谈判响应文件；</w:t>
      </w:r>
    </w:p>
    <w:p>
      <w:pPr>
        <w:widowControl/>
        <w:overflowPunct w:val="0"/>
        <w:autoSpaceDE w:val="0"/>
        <w:autoSpaceDN w:val="0"/>
        <w:adjustRightInd w:val="0"/>
        <w:snapToGrid w:val="0"/>
        <w:spacing w:before="36" w:line="400" w:lineRule="exact"/>
        <w:ind w:right="-20"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③谈判办法；</w:t>
      </w:r>
    </w:p>
    <w:p>
      <w:pPr>
        <w:widowControl/>
        <w:overflowPunct w:val="0"/>
        <w:autoSpaceDE w:val="0"/>
        <w:autoSpaceDN w:val="0"/>
        <w:adjustRightInd w:val="0"/>
        <w:snapToGrid w:val="0"/>
        <w:spacing w:before="36" w:line="400" w:lineRule="exact"/>
        <w:ind w:right="-20"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④技术要求；</w:t>
      </w:r>
    </w:p>
    <w:p>
      <w:pPr>
        <w:widowControl/>
        <w:overflowPunct w:val="0"/>
        <w:autoSpaceDE w:val="0"/>
        <w:autoSpaceDN w:val="0"/>
        <w:adjustRightInd w:val="0"/>
        <w:snapToGrid w:val="0"/>
        <w:spacing w:before="36" w:line="400" w:lineRule="exact"/>
        <w:ind w:right="-20"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⑤合同条款；</w:t>
      </w:r>
    </w:p>
    <w:p>
      <w:pPr>
        <w:widowControl/>
        <w:overflowPunct w:val="0"/>
        <w:autoSpaceDE w:val="0"/>
        <w:autoSpaceDN w:val="0"/>
        <w:adjustRightInd w:val="0"/>
        <w:snapToGrid w:val="0"/>
        <w:spacing w:before="28" w:line="400" w:lineRule="exact"/>
        <w:ind w:right="6"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根据本章规定对谈判文件所作的澄清、修改，构成谈判文件的组成部分。</w:t>
      </w:r>
    </w:p>
    <w:p>
      <w:pPr>
        <w:pStyle w:val="88"/>
        <w:widowControl/>
        <w:numPr>
          <w:ilvl w:val="0"/>
          <w:numId w:val="0"/>
        </w:numPr>
        <w:tabs>
          <w:tab w:val="clear" w:pos="600"/>
        </w:tabs>
        <w:overflowPunct w:val="0"/>
        <w:spacing w:line="400" w:lineRule="exact"/>
        <w:ind w:firstLine="420"/>
        <w:jc w:val="both"/>
        <w:rPr>
          <w:rFonts w:hint="eastAsia" w:ascii="宋体" w:hAnsi="宋体" w:cs="宋体"/>
          <w:color w:val="auto"/>
          <w:sz w:val="20"/>
          <w:highlight w:val="none"/>
          <w:lang w:bidi="ar"/>
        </w:rPr>
      </w:pPr>
      <w:r>
        <w:rPr>
          <w:rFonts w:hint="eastAsia" w:ascii="宋体" w:hAnsi="宋体" w:cs="宋体"/>
          <w:color w:val="auto"/>
          <w:sz w:val="20"/>
          <w:highlight w:val="none"/>
          <w:lang w:bidi="ar"/>
        </w:rPr>
        <w:t>三、谈判响应文件</w:t>
      </w:r>
      <w:bookmarkEnd w:id="4"/>
      <w:bookmarkEnd w:id="5"/>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1.谈判响应文件的组成</w:t>
      </w:r>
    </w:p>
    <w:p>
      <w:pPr>
        <w:pStyle w:val="87"/>
        <w:widowControl/>
        <w:numPr>
          <w:ilvl w:val="0"/>
          <w:numId w:val="0"/>
        </w:numPr>
        <w:tabs>
          <w:tab w:val="clear" w:pos="840"/>
        </w:tabs>
        <w:overflowPunct w:val="0"/>
        <w:spacing w:line="400" w:lineRule="exact"/>
        <w:ind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（1）谈判响应文件应包括下列内容：</w:t>
      </w:r>
    </w:p>
    <w:p>
      <w:pPr>
        <w:widowControl/>
        <w:overflowPunct w:val="0"/>
        <w:autoSpaceDE w:val="0"/>
        <w:autoSpaceDN w:val="0"/>
        <w:adjustRightInd w:val="0"/>
        <w:snapToGrid w:val="0"/>
        <w:spacing w:before="28" w:line="400" w:lineRule="exact"/>
        <w:ind w:right="-20" w:firstLine="420"/>
        <w:rPr>
          <w:rFonts w:hint="eastAsia" w:cs="宋体"/>
          <w:color w:val="auto"/>
          <w:sz w:val="20"/>
          <w:szCs w:val="20"/>
          <w:highlight w:val="none"/>
          <w:lang w:bidi="ar"/>
        </w:rPr>
      </w:pPr>
      <w:r>
        <w:rPr>
          <w:rFonts w:hint="eastAsia" w:cs="宋体"/>
          <w:color w:val="auto"/>
          <w:sz w:val="20"/>
          <w:szCs w:val="20"/>
          <w:highlight w:val="none"/>
          <w:lang w:bidi="ar"/>
        </w:rPr>
        <w:t>①</w:t>
      </w:r>
      <w:r>
        <w:rPr>
          <w:rFonts w:hint="eastAsia" w:ascii="宋体" w:hAnsi="宋体" w:cs="宋体"/>
          <w:color w:val="auto"/>
          <w:kern w:val="0"/>
          <w:sz w:val="20"/>
          <w:highlight w:val="none"/>
          <w:lang w:bidi="ar"/>
        </w:rPr>
        <w:t>谈判响应文件商务部分</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t>谈判响应文件技术部分</w:t>
      </w:r>
    </w:p>
    <w:p>
      <w:pPr>
        <w:widowControl/>
        <w:overflowPunct w:val="0"/>
        <w:autoSpaceDE w:val="0"/>
        <w:autoSpaceDN w:val="0"/>
        <w:adjustRightInd w:val="0"/>
        <w:snapToGrid w:val="0"/>
        <w:spacing w:before="28" w:line="400" w:lineRule="exact"/>
        <w:ind w:right="-20" w:firstLine="420"/>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②</w:t>
      </w:r>
      <w:r>
        <w:rPr>
          <w:rFonts w:hint="eastAsia" w:cs="宋体"/>
          <w:color w:val="auto"/>
          <w:sz w:val="20"/>
          <w:szCs w:val="20"/>
          <w:highlight w:val="none"/>
          <w:lang w:bidi="ar"/>
        </w:rPr>
        <w:t>谈判响应文件报价部分</w:t>
      </w:r>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2.谈判报价</w:t>
      </w:r>
    </w:p>
    <w:p>
      <w:pPr>
        <w:pStyle w:val="87"/>
        <w:widowControl/>
        <w:numPr>
          <w:ilvl w:val="0"/>
          <w:numId w:val="0"/>
        </w:numPr>
        <w:tabs>
          <w:tab w:val="clear" w:pos="840"/>
        </w:tabs>
        <w:overflowPunct w:val="0"/>
        <w:spacing w:line="400" w:lineRule="exact"/>
        <w:ind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（1）本项目采用综合报价。同时要充分考虑本项目的具体情况、市场竞争因素及各种风险。除下列原因外，不得调整：</w:t>
      </w:r>
    </w:p>
    <w:p>
      <w:pPr>
        <w:pStyle w:val="87"/>
        <w:widowControl/>
        <w:numPr>
          <w:ilvl w:val="0"/>
          <w:numId w:val="0"/>
        </w:numPr>
        <w:tabs>
          <w:tab w:val="clear" w:pos="840"/>
        </w:tabs>
        <w:overflowPunct w:val="0"/>
        <w:spacing w:line="400" w:lineRule="exact"/>
        <w:ind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①人力不可抗拒的自然灾害造成的重大损失；</w:t>
      </w:r>
    </w:p>
    <w:p>
      <w:pPr>
        <w:pStyle w:val="87"/>
        <w:widowControl/>
        <w:numPr>
          <w:ilvl w:val="0"/>
          <w:numId w:val="0"/>
        </w:numPr>
        <w:tabs>
          <w:tab w:val="clear" w:pos="840"/>
        </w:tabs>
        <w:overflowPunct w:val="0"/>
        <w:spacing w:line="400" w:lineRule="exact"/>
        <w:ind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②谈判人变更工作周期或增减项目。</w:t>
      </w:r>
    </w:p>
    <w:p>
      <w:pPr>
        <w:pStyle w:val="87"/>
        <w:widowControl/>
        <w:numPr>
          <w:ilvl w:val="0"/>
          <w:numId w:val="0"/>
        </w:numPr>
        <w:tabs>
          <w:tab w:val="clear" w:pos="840"/>
        </w:tabs>
        <w:overflowPunct w:val="0"/>
        <w:spacing w:line="400" w:lineRule="exact"/>
        <w:ind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（2）除非本谈判文件或补充/澄清通知另有规定，谈判范围应包括本谈判文件所述的全部内容，谈判响应人的报价应是实施该标段谈判范围内所需的全部费用。</w:t>
      </w:r>
    </w:p>
    <w:p>
      <w:pPr>
        <w:pStyle w:val="87"/>
        <w:widowControl/>
        <w:numPr>
          <w:ilvl w:val="0"/>
          <w:numId w:val="0"/>
        </w:numPr>
        <w:tabs>
          <w:tab w:val="clear" w:pos="840"/>
        </w:tabs>
        <w:overflowPunct w:val="0"/>
        <w:spacing w:line="400" w:lineRule="exact"/>
        <w:ind w:left="-105" w:leftChars="-50"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3）除非合同中另有规定，报价总金额应为完成本项目而发生的所有费用，具体包括人工费、施工机械使用费、工器具使用费、临时设施费、安全文明施工措施费、管理费、财务费用、施工队伍调遣费、利润、税金等及其它可能发生的各种费用。报价须按附表的格式进行报价，如有需要可以进行扩充，但不得改变附表的格式。</w:t>
      </w:r>
    </w:p>
    <w:p>
      <w:pPr>
        <w:pStyle w:val="87"/>
        <w:widowControl/>
        <w:numPr>
          <w:ilvl w:val="0"/>
          <w:numId w:val="0"/>
        </w:numPr>
        <w:tabs>
          <w:tab w:val="clear" w:pos="840"/>
        </w:tabs>
        <w:overflowPunct w:val="0"/>
        <w:spacing w:line="400" w:lineRule="exact"/>
        <w:ind w:left="-63" w:leftChars="-30"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（4）谈判响应人应充分考虑到设工具设备故障、天气等不确定因素导致的日常维护工作时间的延长和加班，招标单位认为谈判响应人已将此费用考虑在合同总费用中。</w:t>
      </w:r>
    </w:p>
    <w:p>
      <w:pPr>
        <w:pStyle w:val="87"/>
        <w:widowControl/>
        <w:numPr>
          <w:ilvl w:val="0"/>
          <w:numId w:val="0"/>
        </w:numPr>
        <w:tabs>
          <w:tab w:val="clear" w:pos="840"/>
        </w:tabs>
        <w:overflowPunct w:val="0"/>
        <w:spacing w:line="400" w:lineRule="exact"/>
        <w:ind w:left="-63" w:leftChars="-30" w:right="210" w:firstLine="420"/>
        <w:jc w:val="both"/>
        <w:rPr>
          <w:rFonts w:hint="eastAsia" w:cs="宋体"/>
          <w:color w:val="auto"/>
          <w:sz w:val="20"/>
          <w:szCs w:val="20"/>
          <w:highlight w:val="none"/>
          <w:lang w:bidi="ar"/>
        </w:rPr>
      </w:pPr>
      <w:r>
        <w:rPr>
          <w:rFonts w:hint="eastAsia" w:cs="宋体"/>
          <w:color w:val="auto"/>
          <w:sz w:val="20"/>
          <w:szCs w:val="20"/>
          <w:highlight w:val="none"/>
          <w:lang w:bidi="ar"/>
        </w:rPr>
        <w:t>（5）谈判响应文件、工程项目报价表中的报价一律用人民币币种填报。谈判方不接受任何非人民币币种的谈判响应人报价。</w:t>
      </w:r>
    </w:p>
    <w:p>
      <w:pPr>
        <w:pStyle w:val="87"/>
        <w:widowControl/>
        <w:numPr>
          <w:ilvl w:val="0"/>
          <w:numId w:val="0"/>
        </w:numPr>
        <w:tabs>
          <w:tab w:val="clear" w:pos="840"/>
        </w:tabs>
        <w:overflowPunct w:val="0"/>
        <w:spacing w:line="400" w:lineRule="exact"/>
        <w:ind w:right="21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3.资格审查资料（适用于未进行资格预审的）</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（1）“谈判响应人基本情况表”应附谈判响应人营业执照副本及其年检合格的证明材料、资质证书副本和安全生产许可证等材料的复印件。</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（2）“近年财务审计报告”应附经会计师事务所或审计机构审计的财务审计报告，包括资产负债表、现金流量表、利润表和财务情况说明书的复印件，具体年份要求见谈判响应人须知前附表。</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（3）“近年完成的类似项目情况表”（应附中标通知书和合同协议书、工程竣工验收证书等的复印件），具体年份要求见谈判响应人须知前附表。</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（4）“正在服务和新承接的项目情况表”应附中标通知书和（或）合同协议书复印件。</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（5）“近年发生的诉讼及仲裁情况”应说明相关情况，并附法院或仲裁机构作出的判决、裁决等</w:t>
      </w:r>
      <w:r>
        <w:rPr>
          <w:rFonts w:hint="eastAsia" w:cs="宋体"/>
          <w:color w:val="auto"/>
          <w:sz w:val="20"/>
          <w:szCs w:val="20"/>
          <w:highlight w:val="none"/>
          <w:lang w:bidi="ar"/>
        </w:rPr>
        <w:t>有关法律文书复印件，具体年份要求见谈判响应人须知前附表。</w:t>
      </w:r>
    </w:p>
    <w:p>
      <w:pPr>
        <w:pStyle w:val="87"/>
        <w:widowControl/>
        <w:numPr>
          <w:ilvl w:val="0"/>
          <w:numId w:val="0"/>
        </w:numPr>
        <w:tabs>
          <w:tab w:val="clear" w:pos="840"/>
        </w:tabs>
        <w:overflowPunct w:val="0"/>
        <w:spacing w:line="400" w:lineRule="exact"/>
        <w:ind w:right="0" w:rightChars="0" w:firstLine="420"/>
        <w:jc w:val="both"/>
        <w:rPr>
          <w:rFonts w:hint="eastAsia" w:cs="宋体"/>
          <w:b/>
          <w:bCs/>
          <w:color w:val="auto"/>
          <w:sz w:val="20"/>
          <w:szCs w:val="20"/>
          <w:highlight w:val="none"/>
          <w:lang w:bidi="ar"/>
        </w:rPr>
      </w:pPr>
      <w:bookmarkStart w:id="6" w:name="_Toc405303165"/>
      <w:bookmarkStart w:id="7" w:name="_Toc478736673"/>
      <w:r>
        <w:rPr>
          <w:rFonts w:hint="eastAsia" w:cs="宋体"/>
          <w:b/>
          <w:bCs/>
          <w:color w:val="auto"/>
          <w:sz w:val="20"/>
          <w:szCs w:val="20"/>
          <w:highlight w:val="none"/>
          <w:lang w:bidi="ar"/>
        </w:rPr>
        <w:t>4.谈判响应文件的递交</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（1）谈判响应文件请下载附件2.《谈判响应文件格式》，谈判响应人必须完善各项信息，完善后打印出来加盖公章，扫描成清晰的PDF格式文件（1个整文件），上传即可。</w:t>
      </w:r>
    </w:p>
    <w:p>
      <w:pPr>
        <w:pStyle w:val="87"/>
        <w:widowControl/>
        <w:numPr>
          <w:ilvl w:val="0"/>
          <w:numId w:val="0"/>
        </w:numPr>
        <w:tabs>
          <w:tab w:val="clear" w:pos="840"/>
        </w:tabs>
        <w:overflowPunct w:val="0"/>
        <w:spacing w:line="400" w:lineRule="exact"/>
        <w:ind w:right="0" w:rightChars="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5.谈判小组</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谈判小组由谈判方相关人员组成。</w:t>
      </w:r>
    </w:p>
    <w:p>
      <w:pPr>
        <w:pStyle w:val="87"/>
        <w:widowControl/>
        <w:numPr>
          <w:ilvl w:val="0"/>
          <w:numId w:val="0"/>
        </w:numPr>
        <w:tabs>
          <w:tab w:val="clear" w:pos="840"/>
        </w:tabs>
        <w:overflowPunct w:val="0"/>
        <w:spacing w:line="400" w:lineRule="exact"/>
        <w:ind w:right="0" w:rightChars="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6.</w:t>
      </w:r>
      <w:bookmarkEnd w:id="6"/>
      <w:bookmarkEnd w:id="7"/>
      <w:r>
        <w:rPr>
          <w:rFonts w:hint="eastAsia" w:cs="宋体"/>
          <w:b/>
          <w:bCs/>
          <w:color w:val="auto"/>
          <w:sz w:val="20"/>
          <w:szCs w:val="20"/>
          <w:highlight w:val="none"/>
          <w:lang w:bidi="ar"/>
        </w:rPr>
        <w:t>谈判报名、报价期限</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（1）报名开始时间：</w:t>
      </w:r>
      <w:r>
        <w:rPr>
          <w:rFonts w:hint="eastAsia" w:cs="宋体"/>
          <w:color w:val="auto"/>
          <w:sz w:val="20"/>
          <w:szCs w:val="20"/>
          <w:highlight w:val="none"/>
          <w:lang w:eastAsia="zh-CN" w:bidi="ar"/>
        </w:rPr>
        <w:t>详见公告</w:t>
      </w:r>
      <w:r>
        <w:rPr>
          <w:rFonts w:hint="eastAsia" w:cs="宋体"/>
          <w:color w:val="auto"/>
          <w:sz w:val="20"/>
          <w:szCs w:val="20"/>
          <w:highlight w:val="none"/>
          <w:lang w:bidi="ar"/>
        </w:rPr>
        <w:t xml:space="preserve">； </w:t>
      </w:r>
    </w:p>
    <w:p>
      <w:pPr>
        <w:pStyle w:val="87"/>
        <w:widowControl/>
        <w:numPr>
          <w:ilvl w:val="0"/>
          <w:numId w:val="0"/>
        </w:numPr>
        <w:tabs>
          <w:tab w:val="clear" w:pos="840"/>
        </w:tabs>
        <w:overflowPunct w:val="0"/>
        <w:spacing w:line="400" w:lineRule="exact"/>
        <w:ind w:right="0" w:rightChars="0" w:firstLine="420"/>
        <w:jc w:val="both"/>
        <w:rPr>
          <w:rFonts w:hint="eastAsia" w:eastAsia="宋体" w:cs="宋体"/>
          <w:color w:val="auto"/>
          <w:sz w:val="20"/>
          <w:szCs w:val="20"/>
          <w:highlight w:val="none"/>
          <w:lang w:eastAsia="zh-CN" w:bidi="ar"/>
        </w:rPr>
      </w:pPr>
      <w:r>
        <w:rPr>
          <w:rFonts w:hint="eastAsia" w:cs="宋体"/>
          <w:color w:val="auto"/>
          <w:sz w:val="20"/>
          <w:szCs w:val="20"/>
          <w:highlight w:val="none"/>
          <w:lang w:eastAsia="zh-CN" w:bidi="ar"/>
        </w:rPr>
        <w:t>（</w:t>
      </w:r>
      <w:r>
        <w:rPr>
          <w:rFonts w:hint="eastAsia" w:cs="宋体"/>
          <w:color w:val="auto"/>
          <w:sz w:val="20"/>
          <w:szCs w:val="20"/>
          <w:highlight w:val="none"/>
          <w:lang w:val="en-US" w:eastAsia="zh-CN" w:bidi="ar"/>
        </w:rPr>
        <w:t>2</w:t>
      </w:r>
      <w:r>
        <w:rPr>
          <w:rFonts w:hint="eastAsia" w:cs="宋体"/>
          <w:color w:val="auto"/>
          <w:sz w:val="20"/>
          <w:szCs w:val="20"/>
          <w:highlight w:val="none"/>
          <w:lang w:eastAsia="zh-CN" w:bidi="ar"/>
        </w:rPr>
        <w:t>）</w:t>
      </w:r>
      <w:r>
        <w:rPr>
          <w:rFonts w:hint="eastAsia" w:cs="宋体"/>
          <w:color w:val="auto"/>
          <w:sz w:val="20"/>
          <w:szCs w:val="20"/>
          <w:highlight w:val="none"/>
          <w:lang w:bidi="ar"/>
        </w:rPr>
        <w:t>报名截止时间：</w:t>
      </w:r>
      <w:r>
        <w:rPr>
          <w:rFonts w:hint="eastAsia" w:cs="宋体"/>
          <w:color w:val="auto"/>
          <w:sz w:val="20"/>
          <w:szCs w:val="20"/>
          <w:highlight w:val="none"/>
          <w:lang w:eastAsia="zh-CN" w:bidi="ar"/>
        </w:rPr>
        <w:t>详见公告</w:t>
      </w:r>
      <w:r>
        <w:rPr>
          <w:rFonts w:hint="eastAsia" w:cs="宋体"/>
          <w:color w:val="auto"/>
          <w:sz w:val="20"/>
          <w:szCs w:val="20"/>
          <w:highlight w:val="none"/>
          <w:lang w:bidi="ar"/>
        </w:rPr>
        <w:t xml:space="preserve">； </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w:t>
      </w:r>
      <w:r>
        <w:rPr>
          <w:rFonts w:hint="eastAsia" w:cs="宋体"/>
          <w:color w:val="auto"/>
          <w:sz w:val="20"/>
          <w:szCs w:val="20"/>
          <w:highlight w:val="none"/>
          <w:lang w:val="en-US" w:eastAsia="zh-CN" w:bidi="ar"/>
        </w:rPr>
        <w:t>3</w:t>
      </w:r>
      <w:r>
        <w:rPr>
          <w:rFonts w:hint="eastAsia" w:cs="宋体"/>
          <w:color w:val="auto"/>
          <w:sz w:val="20"/>
          <w:szCs w:val="20"/>
          <w:highlight w:val="none"/>
          <w:lang w:bidi="ar"/>
        </w:rPr>
        <w:t>）</w:t>
      </w:r>
      <w:r>
        <w:rPr>
          <w:rFonts w:hint="eastAsia" w:cs="宋体"/>
          <w:color w:val="auto"/>
          <w:sz w:val="20"/>
          <w:szCs w:val="20"/>
          <w:highlight w:val="none"/>
          <w:lang w:eastAsia="zh-CN" w:bidi="ar"/>
        </w:rPr>
        <w:t>谈判响应人踏勘时间：详见公告</w:t>
      </w:r>
      <w:r>
        <w:rPr>
          <w:rFonts w:hint="eastAsia" w:cs="宋体"/>
          <w:color w:val="auto"/>
          <w:sz w:val="20"/>
          <w:szCs w:val="20"/>
          <w:highlight w:val="none"/>
          <w:lang w:bidi="ar"/>
        </w:rPr>
        <w:t>；</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w:t>
      </w:r>
      <w:r>
        <w:rPr>
          <w:rFonts w:hint="eastAsia" w:cs="宋体"/>
          <w:color w:val="auto"/>
          <w:sz w:val="20"/>
          <w:szCs w:val="20"/>
          <w:highlight w:val="none"/>
          <w:lang w:val="en-US" w:eastAsia="zh-CN" w:bidi="ar"/>
        </w:rPr>
        <w:t>4</w:t>
      </w:r>
      <w:r>
        <w:rPr>
          <w:rFonts w:hint="eastAsia" w:cs="宋体"/>
          <w:color w:val="auto"/>
          <w:sz w:val="20"/>
          <w:szCs w:val="20"/>
          <w:highlight w:val="none"/>
          <w:lang w:bidi="ar"/>
        </w:rPr>
        <w:t>）谈判响应文件截止上传时间：</w:t>
      </w:r>
      <w:r>
        <w:rPr>
          <w:rFonts w:hint="eastAsia" w:cs="宋体"/>
          <w:color w:val="auto"/>
          <w:sz w:val="20"/>
          <w:szCs w:val="20"/>
          <w:highlight w:val="none"/>
          <w:lang w:eastAsia="zh-CN" w:bidi="ar"/>
        </w:rPr>
        <w:t>详见公告</w:t>
      </w:r>
      <w:r>
        <w:rPr>
          <w:rFonts w:hint="eastAsia" w:cs="宋体"/>
          <w:color w:val="auto"/>
          <w:sz w:val="20"/>
          <w:szCs w:val="20"/>
          <w:highlight w:val="none"/>
          <w:lang w:bidi="ar"/>
        </w:rPr>
        <w:t xml:space="preserve">； </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w:t>
      </w:r>
      <w:r>
        <w:rPr>
          <w:rFonts w:hint="eastAsia" w:cs="宋体"/>
          <w:color w:val="auto"/>
          <w:sz w:val="20"/>
          <w:szCs w:val="20"/>
          <w:highlight w:val="none"/>
          <w:lang w:val="en-US" w:eastAsia="zh-CN" w:bidi="ar"/>
        </w:rPr>
        <w:t>5</w:t>
      </w:r>
      <w:r>
        <w:rPr>
          <w:rFonts w:hint="eastAsia" w:cs="宋体"/>
          <w:color w:val="auto"/>
          <w:sz w:val="20"/>
          <w:szCs w:val="20"/>
          <w:highlight w:val="none"/>
          <w:lang w:bidi="ar"/>
        </w:rPr>
        <w:t>）谈判地点：哈密市和翔工贸有限责任公司会议室，本次谈判采用线上方式进行谈判。</w:t>
      </w:r>
    </w:p>
    <w:p>
      <w:pPr>
        <w:pStyle w:val="87"/>
        <w:widowControl/>
        <w:numPr>
          <w:ilvl w:val="0"/>
          <w:numId w:val="0"/>
        </w:numPr>
        <w:tabs>
          <w:tab w:val="clear" w:pos="840"/>
        </w:tabs>
        <w:overflowPunct w:val="0"/>
        <w:spacing w:line="400" w:lineRule="exact"/>
        <w:ind w:right="0" w:rightChars="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7.谈判办法</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详见谈判文件附件3.《谈判办法》word文件。</w:t>
      </w:r>
      <w:bookmarkStart w:id="8" w:name="_GoBack"/>
      <w:bookmarkEnd w:id="8"/>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b/>
          <w:bCs/>
          <w:color w:val="auto"/>
          <w:sz w:val="20"/>
          <w:szCs w:val="20"/>
          <w:highlight w:val="none"/>
          <w:lang w:bidi="ar"/>
        </w:rPr>
        <w:t>8.谈判准则</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根据谈判评审委员会推荐的谈判响应人综合评审排名顺序，确定供应商。</w:t>
      </w:r>
    </w:p>
    <w:p>
      <w:pPr>
        <w:pStyle w:val="87"/>
        <w:widowControl/>
        <w:numPr>
          <w:ilvl w:val="0"/>
          <w:numId w:val="0"/>
        </w:numPr>
        <w:tabs>
          <w:tab w:val="clear" w:pos="840"/>
        </w:tabs>
        <w:overflowPunct w:val="0"/>
        <w:spacing w:line="400" w:lineRule="exact"/>
        <w:ind w:right="0" w:rightChars="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9.成交通知</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下发成交通知书。</w:t>
      </w:r>
    </w:p>
    <w:p>
      <w:pPr>
        <w:pStyle w:val="87"/>
        <w:widowControl/>
        <w:numPr>
          <w:ilvl w:val="0"/>
          <w:numId w:val="0"/>
        </w:numPr>
        <w:tabs>
          <w:tab w:val="clear" w:pos="840"/>
        </w:tabs>
        <w:overflowPunct w:val="0"/>
        <w:spacing w:line="400" w:lineRule="exact"/>
        <w:ind w:right="0" w:rightChars="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10.签订合同</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按照响应文件和谈判结果签订合同。</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谈判文件、谈判响应人的响应文件及其澄清文件等，均为签订合同的依据。</w:t>
      </w:r>
    </w:p>
    <w:p>
      <w:pPr>
        <w:pStyle w:val="87"/>
        <w:widowControl/>
        <w:numPr>
          <w:ilvl w:val="0"/>
          <w:numId w:val="0"/>
        </w:numPr>
        <w:tabs>
          <w:tab w:val="clear" w:pos="840"/>
        </w:tabs>
        <w:overflowPunct w:val="0"/>
        <w:spacing w:line="400" w:lineRule="exact"/>
        <w:ind w:right="0" w:rightChars="0" w:firstLine="420"/>
        <w:jc w:val="both"/>
        <w:rPr>
          <w:rFonts w:hint="eastAsia" w:cs="宋体"/>
          <w:b/>
          <w:bCs/>
          <w:color w:val="auto"/>
          <w:sz w:val="20"/>
          <w:szCs w:val="20"/>
          <w:highlight w:val="none"/>
          <w:lang w:bidi="ar"/>
        </w:rPr>
      </w:pPr>
      <w:r>
        <w:rPr>
          <w:rFonts w:hint="eastAsia" w:cs="宋体"/>
          <w:b/>
          <w:bCs/>
          <w:color w:val="auto"/>
          <w:sz w:val="20"/>
          <w:szCs w:val="20"/>
          <w:highlight w:val="none"/>
          <w:lang w:bidi="ar"/>
        </w:rPr>
        <w:t>1</w:t>
      </w:r>
      <w:r>
        <w:rPr>
          <w:rFonts w:hint="eastAsia" w:cs="宋体"/>
          <w:b/>
          <w:bCs/>
          <w:color w:val="auto"/>
          <w:sz w:val="20"/>
          <w:szCs w:val="20"/>
          <w:highlight w:val="none"/>
          <w:lang w:val="en-US" w:eastAsia="zh-CN" w:bidi="ar"/>
        </w:rPr>
        <w:t>1</w:t>
      </w:r>
      <w:r>
        <w:rPr>
          <w:rFonts w:hint="eastAsia" w:cs="宋体"/>
          <w:b/>
          <w:bCs/>
          <w:color w:val="auto"/>
          <w:sz w:val="20"/>
          <w:szCs w:val="20"/>
          <w:highlight w:val="none"/>
          <w:lang w:bidi="ar"/>
        </w:rPr>
        <w:t>.参加谈判费用</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r>
        <w:rPr>
          <w:rFonts w:hint="eastAsia" w:cs="宋体"/>
          <w:color w:val="auto"/>
          <w:sz w:val="20"/>
          <w:szCs w:val="20"/>
          <w:highlight w:val="none"/>
          <w:lang w:bidi="ar"/>
        </w:rPr>
        <w:t>参加谈判响应人应承担其编制及递交响应文件所涉及的一切费用。无论结果如何，谈判人对此费用概不负责。</w:t>
      </w:r>
    </w:p>
    <w:p>
      <w:pPr>
        <w:pStyle w:val="87"/>
        <w:widowControl/>
        <w:numPr>
          <w:ilvl w:val="0"/>
          <w:numId w:val="0"/>
        </w:numPr>
        <w:tabs>
          <w:tab w:val="clear" w:pos="840"/>
        </w:tabs>
        <w:overflowPunct w:val="0"/>
        <w:spacing w:line="400" w:lineRule="exact"/>
        <w:ind w:right="0" w:rightChars="0" w:firstLine="420"/>
        <w:jc w:val="both"/>
        <w:rPr>
          <w:rFonts w:hint="eastAsia" w:cs="宋体"/>
          <w:color w:val="auto"/>
          <w:sz w:val="20"/>
          <w:szCs w:val="20"/>
          <w:highlight w:val="none"/>
          <w:lang w:bidi="ar"/>
        </w:rPr>
      </w:pPr>
    </w:p>
    <w:sectPr>
      <w:headerReference r:id="rId3" w:type="default"/>
      <w:footerReference r:id="rId4" w:type="default"/>
      <w:pgSz w:w="11906" w:h="16838"/>
      <w:pgMar w:top="794" w:right="1418" w:bottom="794" w:left="141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50602020203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45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Style w:val="33"/>
                            </w:rPr>
                          </w:pPr>
                          <w:r>
                            <w:fldChar w:fldCharType="begin"/>
                          </w:r>
                          <w:r>
                            <w:rPr>
                              <w:rStyle w:val="33"/>
                            </w:rPr>
                            <w:instrText xml:space="preserve">PAGE  </w:instrText>
                          </w:r>
                          <w:r>
                            <w:fldChar w:fldCharType="separate"/>
                          </w:r>
                          <w:r>
                            <w:rPr>
                              <w:rStyle w:val="33"/>
                            </w:rPr>
                            <w:t>33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0"/>
                      <w:rPr>
                        <w:rStyle w:val="33"/>
                      </w:rPr>
                    </w:pPr>
                    <w:r>
                      <w:fldChar w:fldCharType="begin"/>
                    </w:r>
                    <w:r>
                      <w:rPr>
                        <w:rStyle w:val="33"/>
                      </w:rPr>
                      <w:instrText xml:space="preserve">PAGE  </w:instrText>
                    </w:r>
                    <w:r>
                      <w:fldChar w:fldCharType="separate"/>
                    </w:r>
                    <w:r>
                      <w:rPr>
                        <w:rStyle w:val="33"/>
                      </w:rPr>
                      <w:t>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A0626"/>
    <w:multiLevelType w:val="multilevel"/>
    <w:tmpl w:val="197A0626"/>
    <w:lvl w:ilvl="0" w:tentative="0">
      <w:start w:val="1"/>
      <w:numFmt w:val="decimal"/>
      <w:pStyle w:val="23"/>
      <w:lvlText w:val="%1."/>
      <w:lvlJc w:val="left"/>
      <w:pPr>
        <w:ind w:left="567" w:hanging="567"/>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95587B"/>
    <w:multiLevelType w:val="multilevel"/>
    <w:tmpl w:val="2295587B"/>
    <w:lvl w:ilvl="0" w:tentative="0">
      <w:start w:val="1"/>
      <w:numFmt w:val="decimal"/>
      <w:pStyle w:val="78"/>
      <w:lvlText w:val="%1"/>
      <w:lvlJc w:val="left"/>
      <w:pPr>
        <w:ind w:left="0" w:firstLine="0"/>
      </w:pPr>
      <w:rPr>
        <w:rFonts w:hint="eastAsia"/>
      </w:rPr>
    </w:lvl>
    <w:lvl w:ilvl="1" w:tentative="0">
      <w:start w:val="1"/>
      <w:numFmt w:val="decimal"/>
      <w:pStyle w:val="88"/>
      <w:lvlText w:val="%2."/>
      <w:lvlJc w:val="left"/>
      <w:pPr>
        <w:ind w:left="0" w:firstLine="0"/>
      </w:pPr>
      <w:rPr>
        <w:rFonts w:hint="eastAsia" w:ascii="宋体" w:hAnsi="宋体" w:eastAsia="宋体"/>
        <w:b w:val="0"/>
      </w:rPr>
    </w:lvl>
    <w:lvl w:ilvl="2" w:tentative="0">
      <w:start w:val="1"/>
      <w:numFmt w:val="decimal"/>
      <w:pStyle w:val="87"/>
      <w:lvlText w:val="%2.%3"/>
      <w:lvlJc w:val="left"/>
      <w:pPr>
        <w:ind w:left="-426" w:firstLine="426"/>
      </w:pPr>
      <w:rPr>
        <w:rFonts w:hint="eastAsia" w:eastAsia="宋体"/>
        <w:b w:val="0"/>
        <w:i w:val="0"/>
        <w:sz w:val="24"/>
        <w:szCs w:val="24"/>
      </w:rPr>
    </w:lvl>
    <w:lvl w:ilvl="3" w:tentative="0">
      <w:start w:val="1"/>
      <w:numFmt w:val="decimal"/>
      <w:lvlText w:val="%2.%3.%4"/>
      <w:lvlJc w:val="left"/>
      <w:pPr>
        <w:ind w:left="568"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MzA0Y2RlNDlhM2FlMzdlNTYzYWUwODcyODkwOWUifQ=="/>
  </w:docVars>
  <w:rsids>
    <w:rsidRoot w:val="00172A27"/>
    <w:rsid w:val="00013792"/>
    <w:rsid w:val="00021982"/>
    <w:rsid w:val="00033114"/>
    <w:rsid w:val="000403A9"/>
    <w:rsid w:val="00044AB5"/>
    <w:rsid w:val="000461CA"/>
    <w:rsid w:val="00046C7A"/>
    <w:rsid w:val="00047E1F"/>
    <w:rsid w:val="00061CD9"/>
    <w:rsid w:val="000645A4"/>
    <w:rsid w:val="000A462E"/>
    <w:rsid w:val="000B2B49"/>
    <w:rsid w:val="000E2FA8"/>
    <w:rsid w:val="000E5587"/>
    <w:rsid w:val="000E6329"/>
    <w:rsid w:val="000F33AC"/>
    <w:rsid w:val="00107322"/>
    <w:rsid w:val="00110AF3"/>
    <w:rsid w:val="0012051B"/>
    <w:rsid w:val="00134450"/>
    <w:rsid w:val="00153A14"/>
    <w:rsid w:val="00186F2F"/>
    <w:rsid w:val="00197A24"/>
    <w:rsid w:val="001A3844"/>
    <w:rsid w:val="00223BF2"/>
    <w:rsid w:val="00231074"/>
    <w:rsid w:val="00254360"/>
    <w:rsid w:val="00293C77"/>
    <w:rsid w:val="002B775B"/>
    <w:rsid w:val="002C329A"/>
    <w:rsid w:val="002D45A4"/>
    <w:rsid w:val="002E6D12"/>
    <w:rsid w:val="002F7899"/>
    <w:rsid w:val="003227B4"/>
    <w:rsid w:val="00327342"/>
    <w:rsid w:val="00351E9A"/>
    <w:rsid w:val="00356B84"/>
    <w:rsid w:val="0038566D"/>
    <w:rsid w:val="003919AE"/>
    <w:rsid w:val="00393700"/>
    <w:rsid w:val="003A7E29"/>
    <w:rsid w:val="003B2A29"/>
    <w:rsid w:val="003C5F9F"/>
    <w:rsid w:val="003D4154"/>
    <w:rsid w:val="003E60E2"/>
    <w:rsid w:val="003E7D4D"/>
    <w:rsid w:val="004124B7"/>
    <w:rsid w:val="004258B2"/>
    <w:rsid w:val="00435F7A"/>
    <w:rsid w:val="0048011E"/>
    <w:rsid w:val="00492579"/>
    <w:rsid w:val="0049748E"/>
    <w:rsid w:val="004A09AF"/>
    <w:rsid w:val="004B4910"/>
    <w:rsid w:val="004B74F0"/>
    <w:rsid w:val="004D6337"/>
    <w:rsid w:val="005016AF"/>
    <w:rsid w:val="00501947"/>
    <w:rsid w:val="0051075F"/>
    <w:rsid w:val="00543B51"/>
    <w:rsid w:val="005A1395"/>
    <w:rsid w:val="005A1BE9"/>
    <w:rsid w:val="005A279D"/>
    <w:rsid w:val="005D2D41"/>
    <w:rsid w:val="005D4B03"/>
    <w:rsid w:val="005E6D38"/>
    <w:rsid w:val="00601552"/>
    <w:rsid w:val="00636DB7"/>
    <w:rsid w:val="00641162"/>
    <w:rsid w:val="00660B5B"/>
    <w:rsid w:val="006754DB"/>
    <w:rsid w:val="0067650D"/>
    <w:rsid w:val="00691019"/>
    <w:rsid w:val="0069378B"/>
    <w:rsid w:val="006D7CE2"/>
    <w:rsid w:val="0072149E"/>
    <w:rsid w:val="007236F1"/>
    <w:rsid w:val="00732700"/>
    <w:rsid w:val="007329EA"/>
    <w:rsid w:val="007529EF"/>
    <w:rsid w:val="00763DF5"/>
    <w:rsid w:val="007719A0"/>
    <w:rsid w:val="007841AB"/>
    <w:rsid w:val="007B6089"/>
    <w:rsid w:val="007C155A"/>
    <w:rsid w:val="007C1E1C"/>
    <w:rsid w:val="007C2252"/>
    <w:rsid w:val="007E72C7"/>
    <w:rsid w:val="00805BB0"/>
    <w:rsid w:val="008061DB"/>
    <w:rsid w:val="00812D23"/>
    <w:rsid w:val="00817773"/>
    <w:rsid w:val="008218D8"/>
    <w:rsid w:val="0082398C"/>
    <w:rsid w:val="0083600A"/>
    <w:rsid w:val="00864919"/>
    <w:rsid w:val="00867B28"/>
    <w:rsid w:val="00886E6A"/>
    <w:rsid w:val="008C1E09"/>
    <w:rsid w:val="008F3818"/>
    <w:rsid w:val="00906EC8"/>
    <w:rsid w:val="00914BBB"/>
    <w:rsid w:val="009242F8"/>
    <w:rsid w:val="00930522"/>
    <w:rsid w:val="009340FC"/>
    <w:rsid w:val="009446F5"/>
    <w:rsid w:val="00955952"/>
    <w:rsid w:val="00961688"/>
    <w:rsid w:val="00964D09"/>
    <w:rsid w:val="00966713"/>
    <w:rsid w:val="00982E1D"/>
    <w:rsid w:val="00997DBA"/>
    <w:rsid w:val="009A4E5F"/>
    <w:rsid w:val="009A56B9"/>
    <w:rsid w:val="009B125F"/>
    <w:rsid w:val="009B5E2C"/>
    <w:rsid w:val="009C5BD0"/>
    <w:rsid w:val="009D0C58"/>
    <w:rsid w:val="009E1988"/>
    <w:rsid w:val="00A0379C"/>
    <w:rsid w:val="00A1303D"/>
    <w:rsid w:val="00A637DA"/>
    <w:rsid w:val="00A71FB1"/>
    <w:rsid w:val="00A7242A"/>
    <w:rsid w:val="00A73E37"/>
    <w:rsid w:val="00A746DF"/>
    <w:rsid w:val="00A818A1"/>
    <w:rsid w:val="00A826B5"/>
    <w:rsid w:val="00A85DA9"/>
    <w:rsid w:val="00A94480"/>
    <w:rsid w:val="00AB2107"/>
    <w:rsid w:val="00AC6B43"/>
    <w:rsid w:val="00AD050F"/>
    <w:rsid w:val="00AD3579"/>
    <w:rsid w:val="00AF1A8D"/>
    <w:rsid w:val="00B04CAB"/>
    <w:rsid w:val="00B22CD9"/>
    <w:rsid w:val="00B4734B"/>
    <w:rsid w:val="00B52928"/>
    <w:rsid w:val="00B53DFF"/>
    <w:rsid w:val="00B61169"/>
    <w:rsid w:val="00B71B74"/>
    <w:rsid w:val="00B73D2C"/>
    <w:rsid w:val="00B827AA"/>
    <w:rsid w:val="00BB2022"/>
    <w:rsid w:val="00BC0BDB"/>
    <w:rsid w:val="00BE1A25"/>
    <w:rsid w:val="00BE251B"/>
    <w:rsid w:val="00BE29E9"/>
    <w:rsid w:val="00BE6A4E"/>
    <w:rsid w:val="00BF6775"/>
    <w:rsid w:val="00C15DEA"/>
    <w:rsid w:val="00C16259"/>
    <w:rsid w:val="00C16673"/>
    <w:rsid w:val="00C46917"/>
    <w:rsid w:val="00C528C6"/>
    <w:rsid w:val="00CA09C3"/>
    <w:rsid w:val="00CA1558"/>
    <w:rsid w:val="00CC23AA"/>
    <w:rsid w:val="00CC3446"/>
    <w:rsid w:val="00CE1EA5"/>
    <w:rsid w:val="00CE782A"/>
    <w:rsid w:val="00CF1CD1"/>
    <w:rsid w:val="00D2599B"/>
    <w:rsid w:val="00D62EF6"/>
    <w:rsid w:val="00D97DF0"/>
    <w:rsid w:val="00DC2FCF"/>
    <w:rsid w:val="00DC3827"/>
    <w:rsid w:val="00DD1758"/>
    <w:rsid w:val="00DE4154"/>
    <w:rsid w:val="00DF1086"/>
    <w:rsid w:val="00DF1132"/>
    <w:rsid w:val="00DF7439"/>
    <w:rsid w:val="00E0078D"/>
    <w:rsid w:val="00E2673A"/>
    <w:rsid w:val="00E368C6"/>
    <w:rsid w:val="00E43E68"/>
    <w:rsid w:val="00E52056"/>
    <w:rsid w:val="00E94B80"/>
    <w:rsid w:val="00E94E8D"/>
    <w:rsid w:val="00EA47A1"/>
    <w:rsid w:val="00EC5780"/>
    <w:rsid w:val="00EF3273"/>
    <w:rsid w:val="00F22A7A"/>
    <w:rsid w:val="00F64B62"/>
    <w:rsid w:val="00F73565"/>
    <w:rsid w:val="00F83ACC"/>
    <w:rsid w:val="00F84D70"/>
    <w:rsid w:val="00FA4184"/>
    <w:rsid w:val="00FB4C71"/>
    <w:rsid w:val="00FB712B"/>
    <w:rsid w:val="00FC6584"/>
    <w:rsid w:val="00FD006E"/>
    <w:rsid w:val="00FF287C"/>
    <w:rsid w:val="01347822"/>
    <w:rsid w:val="01350EBA"/>
    <w:rsid w:val="013A3829"/>
    <w:rsid w:val="015812F4"/>
    <w:rsid w:val="01FF7FFC"/>
    <w:rsid w:val="025252EA"/>
    <w:rsid w:val="02953783"/>
    <w:rsid w:val="03096E93"/>
    <w:rsid w:val="031A555B"/>
    <w:rsid w:val="033F3153"/>
    <w:rsid w:val="03846F41"/>
    <w:rsid w:val="039718AE"/>
    <w:rsid w:val="03AB745C"/>
    <w:rsid w:val="03DC34C3"/>
    <w:rsid w:val="043F523C"/>
    <w:rsid w:val="046B3754"/>
    <w:rsid w:val="048061DC"/>
    <w:rsid w:val="04BC57BE"/>
    <w:rsid w:val="05586E4D"/>
    <w:rsid w:val="059C600D"/>
    <w:rsid w:val="05BC15D7"/>
    <w:rsid w:val="05F06F82"/>
    <w:rsid w:val="063E25D3"/>
    <w:rsid w:val="06AC6427"/>
    <w:rsid w:val="06CE672C"/>
    <w:rsid w:val="06F93B26"/>
    <w:rsid w:val="07840B8A"/>
    <w:rsid w:val="07932494"/>
    <w:rsid w:val="093F003F"/>
    <w:rsid w:val="0944666E"/>
    <w:rsid w:val="09CB0FB4"/>
    <w:rsid w:val="0A1074FF"/>
    <w:rsid w:val="0A1B7806"/>
    <w:rsid w:val="0A277CBA"/>
    <w:rsid w:val="0A9B2625"/>
    <w:rsid w:val="0AAF6F60"/>
    <w:rsid w:val="0AC16465"/>
    <w:rsid w:val="0AF53ADB"/>
    <w:rsid w:val="0BA14C49"/>
    <w:rsid w:val="0C0A414E"/>
    <w:rsid w:val="0C613AC5"/>
    <w:rsid w:val="0CC4061E"/>
    <w:rsid w:val="0CDB6EE3"/>
    <w:rsid w:val="0D562B05"/>
    <w:rsid w:val="0DC50A3F"/>
    <w:rsid w:val="0E0A05CC"/>
    <w:rsid w:val="0E3D7E82"/>
    <w:rsid w:val="0F2F47B0"/>
    <w:rsid w:val="0F530376"/>
    <w:rsid w:val="0F7D5715"/>
    <w:rsid w:val="0FC205E8"/>
    <w:rsid w:val="101B4C8B"/>
    <w:rsid w:val="1056553F"/>
    <w:rsid w:val="10597943"/>
    <w:rsid w:val="109F2E6F"/>
    <w:rsid w:val="113253F5"/>
    <w:rsid w:val="11470844"/>
    <w:rsid w:val="11DB3D15"/>
    <w:rsid w:val="11FF194A"/>
    <w:rsid w:val="12372F05"/>
    <w:rsid w:val="127F45B5"/>
    <w:rsid w:val="12A14ED3"/>
    <w:rsid w:val="12AC4AC5"/>
    <w:rsid w:val="12B0535E"/>
    <w:rsid w:val="12CD1B17"/>
    <w:rsid w:val="1321633A"/>
    <w:rsid w:val="134F12C7"/>
    <w:rsid w:val="139C5CC0"/>
    <w:rsid w:val="13B31843"/>
    <w:rsid w:val="13EA33EB"/>
    <w:rsid w:val="13EB4689"/>
    <w:rsid w:val="13EE4078"/>
    <w:rsid w:val="13F465FE"/>
    <w:rsid w:val="141A2034"/>
    <w:rsid w:val="14DF405D"/>
    <w:rsid w:val="158F12AA"/>
    <w:rsid w:val="159A1E95"/>
    <w:rsid w:val="162A626E"/>
    <w:rsid w:val="16A66557"/>
    <w:rsid w:val="16E8537A"/>
    <w:rsid w:val="178A3EFA"/>
    <w:rsid w:val="17AA4AD3"/>
    <w:rsid w:val="1819146F"/>
    <w:rsid w:val="18663846"/>
    <w:rsid w:val="188C5CDB"/>
    <w:rsid w:val="190C63DE"/>
    <w:rsid w:val="194A30EB"/>
    <w:rsid w:val="19716B70"/>
    <w:rsid w:val="19C43D8D"/>
    <w:rsid w:val="19E41D00"/>
    <w:rsid w:val="19F93486"/>
    <w:rsid w:val="1A077663"/>
    <w:rsid w:val="1A47763D"/>
    <w:rsid w:val="1AF8308C"/>
    <w:rsid w:val="1B414988"/>
    <w:rsid w:val="1B776919"/>
    <w:rsid w:val="1CF848D4"/>
    <w:rsid w:val="1D1E5F5E"/>
    <w:rsid w:val="1D66007B"/>
    <w:rsid w:val="1E504AFF"/>
    <w:rsid w:val="1E673F1B"/>
    <w:rsid w:val="1E87101B"/>
    <w:rsid w:val="1F4419E8"/>
    <w:rsid w:val="1F87399F"/>
    <w:rsid w:val="1F8B587D"/>
    <w:rsid w:val="1FDE281F"/>
    <w:rsid w:val="203D202F"/>
    <w:rsid w:val="20422CA9"/>
    <w:rsid w:val="204948FD"/>
    <w:rsid w:val="20655EE4"/>
    <w:rsid w:val="21352382"/>
    <w:rsid w:val="21423963"/>
    <w:rsid w:val="21E77B48"/>
    <w:rsid w:val="22293147"/>
    <w:rsid w:val="22437026"/>
    <w:rsid w:val="22573F70"/>
    <w:rsid w:val="22E63B85"/>
    <w:rsid w:val="22EE5E36"/>
    <w:rsid w:val="2302425B"/>
    <w:rsid w:val="230713EE"/>
    <w:rsid w:val="230B0D50"/>
    <w:rsid w:val="232D7FE9"/>
    <w:rsid w:val="236E08F0"/>
    <w:rsid w:val="23BA3378"/>
    <w:rsid w:val="23CD71FB"/>
    <w:rsid w:val="24381888"/>
    <w:rsid w:val="24413E51"/>
    <w:rsid w:val="24423FD9"/>
    <w:rsid w:val="2452427E"/>
    <w:rsid w:val="24880E21"/>
    <w:rsid w:val="249960EA"/>
    <w:rsid w:val="24CC79E7"/>
    <w:rsid w:val="25107471"/>
    <w:rsid w:val="251D355D"/>
    <w:rsid w:val="261B6784"/>
    <w:rsid w:val="26A848FF"/>
    <w:rsid w:val="26BB5831"/>
    <w:rsid w:val="26C15171"/>
    <w:rsid w:val="2758427E"/>
    <w:rsid w:val="276D65CD"/>
    <w:rsid w:val="27712781"/>
    <w:rsid w:val="27CD13A2"/>
    <w:rsid w:val="28102354"/>
    <w:rsid w:val="285E74B8"/>
    <w:rsid w:val="287F612C"/>
    <w:rsid w:val="288F0EBE"/>
    <w:rsid w:val="289B617C"/>
    <w:rsid w:val="28AB702B"/>
    <w:rsid w:val="292403FE"/>
    <w:rsid w:val="29330AE8"/>
    <w:rsid w:val="298634AE"/>
    <w:rsid w:val="29C61DAE"/>
    <w:rsid w:val="29E97105"/>
    <w:rsid w:val="2A7D469C"/>
    <w:rsid w:val="2B883CD2"/>
    <w:rsid w:val="2BC83228"/>
    <w:rsid w:val="2BF23E6F"/>
    <w:rsid w:val="2C2E6C6E"/>
    <w:rsid w:val="2C3762E9"/>
    <w:rsid w:val="2CA14FB6"/>
    <w:rsid w:val="2CB01E1D"/>
    <w:rsid w:val="2CFC5A81"/>
    <w:rsid w:val="2D02224E"/>
    <w:rsid w:val="2D20603C"/>
    <w:rsid w:val="2D845745"/>
    <w:rsid w:val="2DE61CFB"/>
    <w:rsid w:val="2DF35715"/>
    <w:rsid w:val="2E062F0C"/>
    <w:rsid w:val="2E2714F6"/>
    <w:rsid w:val="2E282E36"/>
    <w:rsid w:val="2E2A4E21"/>
    <w:rsid w:val="2E741D53"/>
    <w:rsid w:val="2EA5222D"/>
    <w:rsid w:val="2EF130A7"/>
    <w:rsid w:val="2F474EE9"/>
    <w:rsid w:val="2FF0284B"/>
    <w:rsid w:val="3099315A"/>
    <w:rsid w:val="30BE5F76"/>
    <w:rsid w:val="3160484A"/>
    <w:rsid w:val="31794216"/>
    <w:rsid w:val="31A53364"/>
    <w:rsid w:val="31A74AE4"/>
    <w:rsid w:val="31BF5B6F"/>
    <w:rsid w:val="32036CD0"/>
    <w:rsid w:val="324B1DBF"/>
    <w:rsid w:val="32681BD0"/>
    <w:rsid w:val="32695A2E"/>
    <w:rsid w:val="33931A4A"/>
    <w:rsid w:val="33A45ACD"/>
    <w:rsid w:val="342F169A"/>
    <w:rsid w:val="34657295"/>
    <w:rsid w:val="35382048"/>
    <w:rsid w:val="35B15A7F"/>
    <w:rsid w:val="35B80A00"/>
    <w:rsid w:val="35D60401"/>
    <w:rsid w:val="36033B8C"/>
    <w:rsid w:val="362F4549"/>
    <w:rsid w:val="366066A1"/>
    <w:rsid w:val="366D7A83"/>
    <w:rsid w:val="369E241A"/>
    <w:rsid w:val="37114AD0"/>
    <w:rsid w:val="37780963"/>
    <w:rsid w:val="378A3C3F"/>
    <w:rsid w:val="37A45A78"/>
    <w:rsid w:val="37E50BD2"/>
    <w:rsid w:val="37EC3751"/>
    <w:rsid w:val="383B490E"/>
    <w:rsid w:val="38D83F21"/>
    <w:rsid w:val="39285338"/>
    <w:rsid w:val="39333BE6"/>
    <w:rsid w:val="39977E29"/>
    <w:rsid w:val="39D249D4"/>
    <w:rsid w:val="3A50739A"/>
    <w:rsid w:val="3AFE27C0"/>
    <w:rsid w:val="3B1F1463"/>
    <w:rsid w:val="3C783EDE"/>
    <w:rsid w:val="3C7C22C2"/>
    <w:rsid w:val="3CD4688D"/>
    <w:rsid w:val="3E1A0D49"/>
    <w:rsid w:val="3E822E51"/>
    <w:rsid w:val="3EB97691"/>
    <w:rsid w:val="3EDA1C94"/>
    <w:rsid w:val="3EE5663E"/>
    <w:rsid w:val="3F0258DE"/>
    <w:rsid w:val="3F161445"/>
    <w:rsid w:val="3F685C49"/>
    <w:rsid w:val="3F9772D2"/>
    <w:rsid w:val="402B2EC8"/>
    <w:rsid w:val="40550366"/>
    <w:rsid w:val="4077413E"/>
    <w:rsid w:val="40883E46"/>
    <w:rsid w:val="408E14D8"/>
    <w:rsid w:val="40FB3BA1"/>
    <w:rsid w:val="41301083"/>
    <w:rsid w:val="4152035E"/>
    <w:rsid w:val="41531DFB"/>
    <w:rsid w:val="416563FD"/>
    <w:rsid w:val="41AA31E8"/>
    <w:rsid w:val="41D628FB"/>
    <w:rsid w:val="426C615E"/>
    <w:rsid w:val="427419DE"/>
    <w:rsid w:val="428F5B72"/>
    <w:rsid w:val="42AD3986"/>
    <w:rsid w:val="43076F03"/>
    <w:rsid w:val="43103CED"/>
    <w:rsid w:val="435A6E24"/>
    <w:rsid w:val="43706BAD"/>
    <w:rsid w:val="440826EB"/>
    <w:rsid w:val="442E1A3A"/>
    <w:rsid w:val="445107E1"/>
    <w:rsid w:val="4558110B"/>
    <w:rsid w:val="45A43E72"/>
    <w:rsid w:val="46142DEA"/>
    <w:rsid w:val="46413E26"/>
    <w:rsid w:val="46B43D8C"/>
    <w:rsid w:val="47230826"/>
    <w:rsid w:val="472B08B1"/>
    <w:rsid w:val="48076477"/>
    <w:rsid w:val="48234524"/>
    <w:rsid w:val="491A01E8"/>
    <w:rsid w:val="494726A2"/>
    <w:rsid w:val="49731682"/>
    <w:rsid w:val="49D81175"/>
    <w:rsid w:val="49F42EE8"/>
    <w:rsid w:val="4AD25C91"/>
    <w:rsid w:val="4AEF48DA"/>
    <w:rsid w:val="4B107D0E"/>
    <w:rsid w:val="4B657719"/>
    <w:rsid w:val="4BDD4B94"/>
    <w:rsid w:val="4BE653E2"/>
    <w:rsid w:val="4C04052C"/>
    <w:rsid w:val="4C150C9F"/>
    <w:rsid w:val="4C2B42FA"/>
    <w:rsid w:val="4C434469"/>
    <w:rsid w:val="4CD2721D"/>
    <w:rsid w:val="4CEE2AE9"/>
    <w:rsid w:val="4D142C41"/>
    <w:rsid w:val="4D8421AD"/>
    <w:rsid w:val="4DDB1683"/>
    <w:rsid w:val="4E7E7C0F"/>
    <w:rsid w:val="4E875D89"/>
    <w:rsid w:val="4E8A4F98"/>
    <w:rsid w:val="4EC230E1"/>
    <w:rsid w:val="4EEE2E23"/>
    <w:rsid w:val="4F140272"/>
    <w:rsid w:val="508B74E2"/>
    <w:rsid w:val="50D96187"/>
    <w:rsid w:val="51131952"/>
    <w:rsid w:val="51362C40"/>
    <w:rsid w:val="519C03BD"/>
    <w:rsid w:val="522E277B"/>
    <w:rsid w:val="527302FC"/>
    <w:rsid w:val="533B611E"/>
    <w:rsid w:val="5351229D"/>
    <w:rsid w:val="536500F4"/>
    <w:rsid w:val="536935C2"/>
    <w:rsid w:val="539C47E1"/>
    <w:rsid w:val="53B875E5"/>
    <w:rsid w:val="5406203F"/>
    <w:rsid w:val="548257EB"/>
    <w:rsid w:val="54CD6428"/>
    <w:rsid w:val="54D755A4"/>
    <w:rsid w:val="55A77EFD"/>
    <w:rsid w:val="55CA5513"/>
    <w:rsid w:val="561E41BE"/>
    <w:rsid w:val="563F6047"/>
    <w:rsid w:val="569C3309"/>
    <w:rsid w:val="56E34850"/>
    <w:rsid w:val="57067443"/>
    <w:rsid w:val="571733B4"/>
    <w:rsid w:val="57247D71"/>
    <w:rsid w:val="572F73F9"/>
    <w:rsid w:val="57D26A38"/>
    <w:rsid w:val="57FC7AB4"/>
    <w:rsid w:val="586274CB"/>
    <w:rsid w:val="588E6915"/>
    <w:rsid w:val="589E059B"/>
    <w:rsid w:val="58BD549D"/>
    <w:rsid w:val="58D4481F"/>
    <w:rsid w:val="591C45E0"/>
    <w:rsid w:val="59A108A8"/>
    <w:rsid w:val="59FB5D27"/>
    <w:rsid w:val="5A066F95"/>
    <w:rsid w:val="5A690DD4"/>
    <w:rsid w:val="5B655402"/>
    <w:rsid w:val="5BA14CA4"/>
    <w:rsid w:val="5BAA258E"/>
    <w:rsid w:val="5BDF1018"/>
    <w:rsid w:val="5C0501D8"/>
    <w:rsid w:val="5C616FA8"/>
    <w:rsid w:val="5C780248"/>
    <w:rsid w:val="5D050D03"/>
    <w:rsid w:val="5D5261BD"/>
    <w:rsid w:val="5D541973"/>
    <w:rsid w:val="5D707008"/>
    <w:rsid w:val="5D722DAD"/>
    <w:rsid w:val="5DE53269"/>
    <w:rsid w:val="5EC93B04"/>
    <w:rsid w:val="5EDB3C02"/>
    <w:rsid w:val="5F875ACC"/>
    <w:rsid w:val="5FB028BF"/>
    <w:rsid w:val="5FE17D11"/>
    <w:rsid w:val="605C51B1"/>
    <w:rsid w:val="60684F8F"/>
    <w:rsid w:val="60B20275"/>
    <w:rsid w:val="60BD0DE4"/>
    <w:rsid w:val="617509BC"/>
    <w:rsid w:val="618F629D"/>
    <w:rsid w:val="62407157"/>
    <w:rsid w:val="627726AB"/>
    <w:rsid w:val="62DF2E95"/>
    <w:rsid w:val="637D164E"/>
    <w:rsid w:val="638C7E85"/>
    <w:rsid w:val="63905649"/>
    <w:rsid w:val="63B86D08"/>
    <w:rsid w:val="63E20B2F"/>
    <w:rsid w:val="64FD2898"/>
    <w:rsid w:val="65AC3174"/>
    <w:rsid w:val="65D2483C"/>
    <w:rsid w:val="65FC7879"/>
    <w:rsid w:val="661D7ECC"/>
    <w:rsid w:val="66B728F9"/>
    <w:rsid w:val="66FB664B"/>
    <w:rsid w:val="6780755E"/>
    <w:rsid w:val="679010DF"/>
    <w:rsid w:val="67C47A34"/>
    <w:rsid w:val="682935A1"/>
    <w:rsid w:val="686A4179"/>
    <w:rsid w:val="68825BF2"/>
    <w:rsid w:val="68825F56"/>
    <w:rsid w:val="6915072E"/>
    <w:rsid w:val="69E95402"/>
    <w:rsid w:val="69F45D34"/>
    <w:rsid w:val="6A274FDE"/>
    <w:rsid w:val="6A555804"/>
    <w:rsid w:val="6A8240B6"/>
    <w:rsid w:val="6A8F5E57"/>
    <w:rsid w:val="6A916A08"/>
    <w:rsid w:val="6A9962A0"/>
    <w:rsid w:val="6AD83F48"/>
    <w:rsid w:val="6B183565"/>
    <w:rsid w:val="6B297923"/>
    <w:rsid w:val="6BCC3834"/>
    <w:rsid w:val="6C6C23A1"/>
    <w:rsid w:val="6CF66063"/>
    <w:rsid w:val="6E3E3E37"/>
    <w:rsid w:val="6E6E4276"/>
    <w:rsid w:val="6EE85CAD"/>
    <w:rsid w:val="6F417E36"/>
    <w:rsid w:val="6F44086C"/>
    <w:rsid w:val="6FD0521A"/>
    <w:rsid w:val="6FF066F3"/>
    <w:rsid w:val="70875992"/>
    <w:rsid w:val="709A59DF"/>
    <w:rsid w:val="70D53605"/>
    <w:rsid w:val="70D63C13"/>
    <w:rsid w:val="70E571C2"/>
    <w:rsid w:val="70EC6F20"/>
    <w:rsid w:val="718D0751"/>
    <w:rsid w:val="71BB28C1"/>
    <w:rsid w:val="7364542B"/>
    <w:rsid w:val="73663FD3"/>
    <w:rsid w:val="73B50F9C"/>
    <w:rsid w:val="746F358C"/>
    <w:rsid w:val="74921B97"/>
    <w:rsid w:val="74B34E4E"/>
    <w:rsid w:val="74C50C4E"/>
    <w:rsid w:val="74D43C29"/>
    <w:rsid w:val="752C474E"/>
    <w:rsid w:val="75A21142"/>
    <w:rsid w:val="75EE495B"/>
    <w:rsid w:val="75F63963"/>
    <w:rsid w:val="76A129CD"/>
    <w:rsid w:val="771E636D"/>
    <w:rsid w:val="775870D2"/>
    <w:rsid w:val="775E7CF0"/>
    <w:rsid w:val="77B3703B"/>
    <w:rsid w:val="780F6A94"/>
    <w:rsid w:val="783F0B9C"/>
    <w:rsid w:val="792B52F6"/>
    <w:rsid w:val="7937042E"/>
    <w:rsid w:val="79A575DC"/>
    <w:rsid w:val="79D96604"/>
    <w:rsid w:val="7B092BE3"/>
    <w:rsid w:val="7B0C00A5"/>
    <w:rsid w:val="7B313A71"/>
    <w:rsid w:val="7B9E7DA2"/>
    <w:rsid w:val="7BED4A7B"/>
    <w:rsid w:val="7C114C71"/>
    <w:rsid w:val="7C140DCA"/>
    <w:rsid w:val="7CEB3903"/>
    <w:rsid w:val="7D5F5890"/>
    <w:rsid w:val="7D787575"/>
    <w:rsid w:val="7D875E85"/>
    <w:rsid w:val="7D880312"/>
    <w:rsid w:val="7D9661F3"/>
    <w:rsid w:val="7E105D8C"/>
    <w:rsid w:val="7E2B3469"/>
    <w:rsid w:val="7E5E5459"/>
    <w:rsid w:val="7E9E3032"/>
    <w:rsid w:val="7EBE128F"/>
    <w:rsid w:val="7EF36F61"/>
    <w:rsid w:val="7F0002F8"/>
    <w:rsid w:val="7FD01328"/>
    <w:rsid w:val="7FF015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uiPriority="99" w:name="Body Text 3"/>
    <w:lsdException w:qFormat="1" w:uiPriority="99" w:semiHidden="0" w:name="Body Text Indent 2"/>
    <w:lsdException w:uiPriority="99"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3"/>
    <w:autoRedefine/>
    <w:qFormat/>
    <w:uiPriority w:val="0"/>
    <w:pPr>
      <w:keepNext/>
      <w:keepLines/>
      <w:spacing w:line="360" w:lineRule="auto"/>
      <w:jc w:val="center"/>
      <w:outlineLvl w:val="0"/>
    </w:pPr>
    <w:rPr>
      <w:rFonts w:eastAsia="黑体"/>
      <w:bCs/>
      <w:kern w:val="44"/>
      <w:sz w:val="32"/>
      <w:szCs w:val="44"/>
    </w:rPr>
  </w:style>
  <w:style w:type="paragraph" w:styleId="4">
    <w:name w:val="heading 2"/>
    <w:basedOn w:val="1"/>
    <w:next w:val="1"/>
    <w:link w:val="44"/>
    <w:autoRedefine/>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45"/>
    <w:autoRedefine/>
    <w:qFormat/>
    <w:uiPriority w:val="9"/>
    <w:pPr>
      <w:keepNext/>
      <w:keepLines/>
      <w:spacing w:before="260" w:after="260" w:line="416" w:lineRule="auto"/>
      <w:outlineLvl w:val="2"/>
    </w:pPr>
    <w:rPr>
      <w:b/>
      <w:bCs/>
      <w:sz w:val="32"/>
      <w:szCs w:val="32"/>
    </w:rPr>
  </w:style>
  <w:style w:type="paragraph" w:styleId="6">
    <w:name w:val="heading 4"/>
    <w:basedOn w:val="1"/>
    <w:next w:val="1"/>
    <w:link w:val="46"/>
    <w:autoRedefine/>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31">
    <w:name w:val="Default Paragraph Font"/>
    <w:autoRedefine/>
    <w:qFormat/>
    <w:uiPriority w:val="0"/>
  </w:style>
  <w:style w:type="table" w:default="1" w:styleId="29">
    <w:name w:val="Normal Table"/>
    <w:autoRedefine/>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spacing w:after="120" w:afterLines="0" w:afterAutospacing="0"/>
      <w:ind w:left="1440" w:leftChars="700" w:rightChars="700"/>
    </w:pPr>
  </w:style>
  <w:style w:type="paragraph" w:styleId="7">
    <w:name w:val="Note Heading"/>
    <w:basedOn w:val="1"/>
    <w:next w:val="1"/>
    <w:autoRedefine/>
    <w:qFormat/>
    <w:uiPriority w:val="0"/>
    <w:pPr>
      <w:adjustRightInd w:val="0"/>
      <w:spacing w:line="360" w:lineRule="auto"/>
      <w:jc w:val="center"/>
      <w:textAlignment w:val="baseline"/>
    </w:pPr>
    <w:rPr>
      <w:color w:val="000000"/>
      <w:spacing w:val="8"/>
      <w:kern w:val="0"/>
      <w:sz w:val="24"/>
      <w:szCs w:val="28"/>
    </w:rPr>
  </w:style>
  <w:style w:type="paragraph" w:styleId="8">
    <w:name w:val="Normal Indent"/>
    <w:basedOn w:val="1"/>
    <w:autoRedefine/>
    <w:unhideWhenUsed/>
    <w:qFormat/>
    <w:uiPriority w:val="0"/>
    <w:pPr>
      <w:ind w:firstLine="420" w:firstLineChars="200"/>
    </w:pPr>
  </w:style>
  <w:style w:type="paragraph" w:styleId="9">
    <w:name w:val="annotation text"/>
    <w:basedOn w:val="1"/>
    <w:link w:val="47"/>
    <w:autoRedefine/>
    <w:unhideWhenUsed/>
    <w:qFormat/>
    <w:uiPriority w:val="99"/>
    <w:pPr>
      <w:jc w:val="left"/>
    </w:pPr>
  </w:style>
  <w:style w:type="paragraph" w:styleId="10">
    <w:name w:val="Body Text"/>
    <w:basedOn w:val="1"/>
    <w:link w:val="48"/>
    <w:autoRedefine/>
    <w:unhideWhenUsed/>
    <w:qFormat/>
    <w:uiPriority w:val="99"/>
    <w:pPr>
      <w:spacing w:after="120"/>
    </w:pPr>
  </w:style>
  <w:style w:type="paragraph" w:styleId="11">
    <w:name w:val="Body Text Indent"/>
    <w:basedOn w:val="1"/>
    <w:link w:val="42"/>
    <w:autoRedefine/>
    <w:unhideWhenUsed/>
    <w:qFormat/>
    <w:uiPriority w:val="0"/>
    <w:pPr>
      <w:spacing w:after="120"/>
      <w:ind w:left="420" w:leftChars="200"/>
    </w:pPr>
    <w:rPr>
      <w:szCs w:val="24"/>
    </w:rPr>
  </w:style>
  <w:style w:type="paragraph" w:styleId="12">
    <w:name w:val="toc 3"/>
    <w:basedOn w:val="1"/>
    <w:next w:val="1"/>
    <w:autoRedefine/>
    <w:unhideWhenUsed/>
    <w:qFormat/>
    <w:uiPriority w:val="39"/>
    <w:pPr>
      <w:ind w:left="840" w:leftChars="400"/>
    </w:pPr>
  </w:style>
  <w:style w:type="paragraph" w:styleId="13">
    <w:name w:val="Plain Text"/>
    <w:basedOn w:val="1"/>
    <w:next w:val="14"/>
    <w:link w:val="49"/>
    <w:autoRedefine/>
    <w:unhideWhenUsed/>
    <w:qFormat/>
    <w:uiPriority w:val="99"/>
    <w:pPr>
      <w:spacing w:line="360" w:lineRule="auto"/>
    </w:pPr>
    <w:rPr>
      <w:rFonts w:ascii="宋体" w:hAnsi="Courier New"/>
      <w:sz w:val="24"/>
    </w:rPr>
  </w:style>
  <w:style w:type="paragraph" w:styleId="14">
    <w:name w:val="index heading"/>
    <w:basedOn w:val="1"/>
    <w:next w:val="15"/>
    <w:autoRedefine/>
    <w:qFormat/>
    <w:uiPriority w:val="0"/>
    <w:pPr>
      <w:spacing w:before="120" w:after="120"/>
      <w:jc w:val="center"/>
    </w:pPr>
    <w:rPr>
      <w:rFonts w:ascii="Calibri" w:hAnsi="Calibri" w:eastAsia="宋体" w:cs="Times New Roman"/>
      <w:b/>
      <w:bCs/>
      <w:iCs/>
      <w:szCs w:val="20"/>
    </w:rPr>
  </w:style>
  <w:style w:type="paragraph" w:styleId="15">
    <w:name w:val="index 1"/>
    <w:basedOn w:val="1"/>
    <w:next w:val="16"/>
    <w:autoRedefine/>
    <w:qFormat/>
    <w:uiPriority w:val="0"/>
    <w:pPr>
      <w:jc w:val="left"/>
    </w:pPr>
    <w:rPr>
      <w:rFonts w:ascii="宋体" w:hAnsi="Times New Roman" w:eastAsia="宋体" w:cs="Times New Roman"/>
      <w:szCs w:val="21"/>
    </w:rPr>
  </w:style>
  <w:style w:type="paragraph" w:customStyle="1" w:styleId="16">
    <w:name w:val="段"/>
    <w:next w:val="1"/>
    <w:autoRedefine/>
    <w:qFormat/>
    <w:uiPriority w:val="0"/>
    <w:pPr>
      <w:autoSpaceDE w:val="0"/>
      <w:autoSpaceDN w:val="0"/>
      <w:ind w:firstLine="200" w:firstLineChars="200"/>
      <w:jc w:val="both"/>
    </w:pPr>
    <w:rPr>
      <w:rFonts w:ascii="宋体" w:hAnsi="Times New Roman" w:eastAsia="宋体" w:cs="Arial"/>
      <w:kern w:val="2"/>
      <w:sz w:val="21"/>
      <w:szCs w:val="22"/>
      <w:lang w:val="en-US" w:eastAsia="zh-CN" w:bidi="ar-SA"/>
    </w:rPr>
  </w:style>
  <w:style w:type="paragraph" w:styleId="17">
    <w:name w:val="Date"/>
    <w:basedOn w:val="1"/>
    <w:next w:val="1"/>
    <w:link w:val="50"/>
    <w:autoRedefine/>
    <w:qFormat/>
    <w:uiPriority w:val="0"/>
    <w:rPr>
      <w:rFonts w:ascii="楷体_GB2312" w:eastAsia="楷体_GB2312"/>
      <w:sz w:val="28"/>
    </w:rPr>
  </w:style>
  <w:style w:type="paragraph" w:styleId="18">
    <w:name w:val="Body Text Indent 2"/>
    <w:basedOn w:val="1"/>
    <w:link w:val="51"/>
    <w:autoRedefine/>
    <w:unhideWhenUsed/>
    <w:qFormat/>
    <w:uiPriority w:val="99"/>
    <w:pPr>
      <w:spacing w:after="120" w:line="480" w:lineRule="auto"/>
      <w:ind w:left="420" w:leftChars="200"/>
    </w:pPr>
  </w:style>
  <w:style w:type="paragraph" w:styleId="19">
    <w:name w:val="Balloon Text"/>
    <w:basedOn w:val="1"/>
    <w:link w:val="52"/>
    <w:autoRedefine/>
    <w:unhideWhenUsed/>
    <w:qFormat/>
    <w:uiPriority w:val="99"/>
    <w:rPr>
      <w:sz w:val="18"/>
      <w:szCs w:val="18"/>
    </w:rPr>
  </w:style>
  <w:style w:type="paragraph" w:styleId="20">
    <w:name w:val="footer"/>
    <w:basedOn w:val="1"/>
    <w:link w:val="53"/>
    <w:autoRedefine/>
    <w:qFormat/>
    <w:uiPriority w:val="99"/>
    <w:pPr>
      <w:tabs>
        <w:tab w:val="center" w:pos="4153"/>
        <w:tab w:val="right" w:pos="8306"/>
      </w:tabs>
      <w:snapToGrid w:val="0"/>
      <w:jc w:val="left"/>
    </w:pPr>
    <w:rPr>
      <w:sz w:val="18"/>
    </w:rPr>
  </w:style>
  <w:style w:type="paragraph" w:styleId="21">
    <w:name w:val="header"/>
    <w:basedOn w:val="1"/>
    <w:next w:val="13"/>
    <w:link w:val="5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toc 1"/>
    <w:basedOn w:val="1"/>
    <w:next w:val="1"/>
    <w:autoRedefine/>
    <w:unhideWhenUsed/>
    <w:qFormat/>
    <w:uiPriority w:val="39"/>
  </w:style>
  <w:style w:type="paragraph" w:styleId="23">
    <w:name w:val="Subtitle"/>
    <w:basedOn w:val="1"/>
    <w:next w:val="1"/>
    <w:link w:val="55"/>
    <w:autoRedefine/>
    <w:qFormat/>
    <w:uiPriority w:val="11"/>
    <w:pPr>
      <w:numPr>
        <w:ilvl w:val="0"/>
        <w:numId w:val="1"/>
      </w:numPr>
      <w:spacing w:line="360" w:lineRule="auto"/>
      <w:jc w:val="left"/>
      <w:outlineLvl w:val="1"/>
    </w:pPr>
    <w:rPr>
      <w:rFonts w:ascii="Cambria" w:hAnsi="Cambria"/>
      <w:b/>
      <w:bCs/>
      <w:kern w:val="28"/>
      <w:sz w:val="28"/>
      <w:szCs w:val="32"/>
    </w:rPr>
  </w:style>
  <w:style w:type="paragraph" w:styleId="24">
    <w:name w:val="toc 2"/>
    <w:basedOn w:val="1"/>
    <w:next w:val="1"/>
    <w:autoRedefine/>
    <w:unhideWhenUsed/>
    <w:qFormat/>
    <w:uiPriority w:val="39"/>
    <w:pPr>
      <w:ind w:left="420" w:leftChars="200"/>
    </w:pPr>
  </w:style>
  <w:style w:type="paragraph" w:styleId="25">
    <w:name w:val="Body Text 2"/>
    <w:basedOn w:val="1"/>
    <w:link w:val="56"/>
    <w:autoRedefine/>
    <w:unhideWhenUsed/>
    <w:qFormat/>
    <w:uiPriority w:val="0"/>
    <w:pPr>
      <w:widowControl/>
      <w:spacing w:line="460" w:lineRule="exact"/>
    </w:pPr>
    <w:rPr>
      <w:rFonts w:ascii="宋体" w:hAnsi="宋体"/>
      <w:color w:val="000000"/>
      <w:szCs w:val="24"/>
    </w:rPr>
  </w:style>
  <w:style w:type="paragraph" w:styleId="2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27">
    <w:name w:val="annotation subject"/>
    <w:basedOn w:val="9"/>
    <w:next w:val="9"/>
    <w:link w:val="57"/>
    <w:autoRedefine/>
    <w:unhideWhenUsed/>
    <w:qFormat/>
    <w:uiPriority w:val="99"/>
    <w:rPr>
      <w:b/>
      <w:bCs/>
    </w:rPr>
  </w:style>
  <w:style w:type="paragraph" w:styleId="28">
    <w:name w:val="Body Text First Indent 2"/>
    <w:basedOn w:val="11"/>
    <w:autoRedefine/>
    <w:qFormat/>
    <w:uiPriority w:val="0"/>
    <w:pPr>
      <w:ind w:firstLine="420" w:firstLineChars="200"/>
    </w:pPr>
  </w:style>
  <w:style w:type="table" w:styleId="30">
    <w:name w:val="Table Grid"/>
    <w:basedOn w:val="2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autoRedefine/>
    <w:qFormat/>
    <w:uiPriority w:val="22"/>
    <w:rPr>
      <w:b/>
      <w:bCs/>
    </w:rPr>
  </w:style>
  <w:style w:type="character" w:styleId="33">
    <w:name w:val="page number"/>
    <w:autoRedefine/>
    <w:qFormat/>
    <w:uiPriority w:val="0"/>
  </w:style>
  <w:style w:type="character" w:styleId="34">
    <w:name w:val="FollowedHyperlink"/>
    <w:autoRedefine/>
    <w:unhideWhenUsed/>
    <w:qFormat/>
    <w:uiPriority w:val="99"/>
    <w:rPr>
      <w:color w:val="333333"/>
      <w:u w:val="none"/>
    </w:rPr>
  </w:style>
  <w:style w:type="character" w:styleId="35">
    <w:name w:val="Emphasis"/>
    <w:autoRedefine/>
    <w:qFormat/>
    <w:uiPriority w:val="20"/>
  </w:style>
  <w:style w:type="character" w:styleId="36">
    <w:name w:val="HTML Definition"/>
    <w:autoRedefine/>
    <w:unhideWhenUsed/>
    <w:qFormat/>
    <w:uiPriority w:val="99"/>
    <w:rPr>
      <w:i/>
      <w:iCs/>
    </w:rPr>
  </w:style>
  <w:style w:type="character" w:styleId="37">
    <w:name w:val="Hyperlink"/>
    <w:autoRedefine/>
    <w:unhideWhenUsed/>
    <w:qFormat/>
    <w:uiPriority w:val="99"/>
    <w:rPr>
      <w:color w:val="333333"/>
      <w:u w:val="none"/>
    </w:rPr>
  </w:style>
  <w:style w:type="character" w:styleId="38">
    <w:name w:val="HTML Code"/>
    <w:autoRedefine/>
    <w:unhideWhenUsed/>
    <w:qFormat/>
    <w:uiPriority w:val="99"/>
    <w:rPr>
      <w:rFonts w:ascii="Consolas" w:hAnsi="Consolas" w:eastAsia="Consolas" w:cs="Consolas"/>
      <w:color w:val="C7254E"/>
      <w:sz w:val="21"/>
      <w:szCs w:val="21"/>
      <w:shd w:val="clear" w:color="auto" w:fill="F9F2F4"/>
    </w:rPr>
  </w:style>
  <w:style w:type="character" w:styleId="39">
    <w:name w:val="annotation reference"/>
    <w:autoRedefine/>
    <w:unhideWhenUsed/>
    <w:qFormat/>
    <w:uiPriority w:val="99"/>
    <w:rPr>
      <w:sz w:val="21"/>
      <w:szCs w:val="21"/>
    </w:rPr>
  </w:style>
  <w:style w:type="character" w:styleId="40">
    <w:name w:val="HTML Keyboard"/>
    <w:autoRedefine/>
    <w:unhideWhenUsed/>
    <w:qFormat/>
    <w:uiPriority w:val="99"/>
    <w:rPr>
      <w:rFonts w:hint="default" w:ascii="Consolas" w:hAnsi="Consolas" w:eastAsia="Consolas" w:cs="Consolas"/>
      <w:color w:val="FFFFFF"/>
      <w:sz w:val="21"/>
      <w:szCs w:val="21"/>
      <w:shd w:val="clear" w:color="auto" w:fill="333333"/>
    </w:rPr>
  </w:style>
  <w:style w:type="character" w:styleId="41">
    <w:name w:val="HTML Sample"/>
    <w:autoRedefine/>
    <w:unhideWhenUsed/>
    <w:qFormat/>
    <w:uiPriority w:val="99"/>
    <w:rPr>
      <w:rFonts w:hint="default" w:ascii="Consolas" w:hAnsi="Consolas" w:eastAsia="Consolas" w:cs="Consolas"/>
      <w:sz w:val="21"/>
      <w:szCs w:val="21"/>
    </w:rPr>
  </w:style>
  <w:style w:type="character" w:customStyle="1" w:styleId="42">
    <w:name w:val="正文文本缩进 字符"/>
    <w:link w:val="11"/>
    <w:autoRedefine/>
    <w:qFormat/>
    <w:uiPriority w:val="0"/>
    <w:rPr>
      <w:kern w:val="2"/>
      <w:sz w:val="21"/>
      <w:szCs w:val="24"/>
    </w:rPr>
  </w:style>
  <w:style w:type="character" w:customStyle="1" w:styleId="43">
    <w:name w:val="标题 1 字符"/>
    <w:link w:val="3"/>
    <w:autoRedefine/>
    <w:qFormat/>
    <w:uiPriority w:val="0"/>
    <w:rPr>
      <w:rFonts w:eastAsia="黑体"/>
      <w:bCs/>
      <w:kern w:val="44"/>
      <w:sz w:val="32"/>
      <w:szCs w:val="44"/>
    </w:rPr>
  </w:style>
  <w:style w:type="character" w:customStyle="1" w:styleId="44">
    <w:name w:val="标题 2 字符"/>
    <w:link w:val="4"/>
    <w:autoRedefine/>
    <w:semiHidden/>
    <w:qFormat/>
    <w:uiPriority w:val="9"/>
    <w:rPr>
      <w:rFonts w:ascii="Cambria" w:hAnsi="Cambria" w:eastAsia="宋体" w:cs="Times New Roman"/>
      <w:b/>
      <w:bCs/>
      <w:kern w:val="2"/>
      <w:sz w:val="32"/>
      <w:szCs w:val="32"/>
    </w:rPr>
  </w:style>
  <w:style w:type="character" w:customStyle="1" w:styleId="45">
    <w:name w:val="标题 3 字符"/>
    <w:link w:val="5"/>
    <w:autoRedefine/>
    <w:semiHidden/>
    <w:qFormat/>
    <w:uiPriority w:val="9"/>
    <w:rPr>
      <w:b/>
      <w:bCs/>
      <w:kern w:val="2"/>
      <w:sz w:val="32"/>
      <w:szCs w:val="32"/>
    </w:rPr>
  </w:style>
  <w:style w:type="character" w:customStyle="1" w:styleId="46">
    <w:name w:val="标题 4 字符"/>
    <w:link w:val="6"/>
    <w:autoRedefine/>
    <w:semiHidden/>
    <w:qFormat/>
    <w:uiPriority w:val="0"/>
    <w:rPr>
      <w:rFonts w:ascii="Cambria" w:hAnsi="Cambria" w:eastAsia="宋体" w:cs="Times New Roman"/>
      <w:b/>
      <w:bCs/>
      <w:kern w:val="2"/>
      <w:sz w:val="28"/>
      <w:szCs w:val="28"/>
    </w:rPr>
  </w:style>
  <w:style w:type="character" w:customStyle="1" w:styleId="47">
    <w:name w:val="批注文字 字符"/>
    <w:link w:val="9"/>
    <w:autoRedefine/>
    <w:semiHidden/>
    <w:qFormat/>
    <w:uiPriority w:val="99"/>
    <w:rPr>
      <w:kern w:val="2"/>
      <w:sz w:val="21"/>
    </w:rPr>
  </w:style>
  <w:style w:type="character" w:customStyle="1" w:styleId="48">
    <w:name w:val="正文文本 字符"/>
    <w:link w:val="10"/>
    <w:autoRedefine/>
    <w:qFormat/>
    <w:uiPriority w:val="99"/>
    <w:rPr>
      <w:kern w:val="2"/>
      <w:sz w:val="21"/>
    </w:rPr>
  </w:style>
  <w:style w:type="character" w:customStyle="1" w:styleId="49">
    <w:name w:val="纯文本 字符"/>
    <w:link w:val="13"/>
    <w:autoRedefine/>
    <w:qFormat/>
    <w:locked/>
    <w:uiPriority w:val="99"/>
    <w:rPr>
      <w:rFonts w:ascii="宋体" w:hAnsi="Courier New"/>
      <w:kern w:val="2"/>
      <w:sz w:val="24"/>
    </w:rPr>
  </w:style>
  <w:style w:type="character" w:customStyle="1" w:styleId="50">
    <w:name w:val="日期 字符"/>
    <w:link w:val="17"/>
    <w:autoRedefine/>
    <w:qFormat/>
    <w:uiPriority w:val="0"/>
    <w:rPr>
      <w:rFonts w:ascii="楷体_GB2312" w:eastAsia="楷体_GB2312"/>
      <w:kern w:val="2"/>
      <w:sz w:val="28"/>
    </w:rPr>
  </w:style>
  <w:style w:type="character" w:customStyle="1" w:styleId="51">
    <w:name w:val="正文文本缩进 2 字符"/>
    <w:link w:val="18"/>
    <w:autoRedefine/>
    <w:semiHidden/>
    <w:qFormat/>
    <w:uiPriority w:val="99"/>
    <w:rPr>
      <w:kern w:val="2"/>
      <w:sz w:val="21"/>
    </w:rPr>
  </w:style>
  <w:style w:type="character" w:customStyle="1" w:styleId="52">
    <w:name w:val="批注框文本 字符"/>
    <w:link w:val="19"/>
    <w:autoRedefine/>
    <w:semiHidden/>
    <w:qFormat/>
    <w:uiPriority w:val="99"/>
    <w:rPr>
      <w:kern w:val="2"/>
      <w:sz w:val="18"/>
      <w:szCs w:val="18"/>
    </w:rPr>
  </w:style>
  <w:style w:type="character" w:customStyle="1" w:styleId="53">
    <w:name w:val="页脚 字符"/>
    <w:link w:val="20"/>
    <w:autoRedefine/>
    <w:qFormat/>
    <w:uiPriority w:val="99"/>
    <w:rPr>
      <w:kern w:val="2"/>
      <w:sz w:val="18"/>
    </w:rPr>
  </w:style>
  <w:style w:type="character" w:customStyle="1" w:styleId="54">
    <w:name w:val="页眉 字符"/>
    <w:link w:val="21"/>
    <w:autoRedefine/>
    <w:qFormat/>
    <w:uiPriority w:val="0"/>
    <w:rPr>
      <w:kern w:val="2"/>
      <w:sz w:val="18"/>
    </w:rPr>
  </w:style>
  <w:style w:type="character" w:customStyle="1" w:styleId="55">
    <w:name w:val="副标题 字符"/>
    <w:link w:val="23"/>
    <w:autoRedefine/>
    <w:qFormat/>
    <w:uiPriority w:val="11"/>
    <w:rPr>
      <w:rFonts w:ascii="Cambria" w:hAnsi="Cambria"/>
      <w:b/>
      <w:bCs/>
      <w:kern w:val="28"/>
      <w:sz w:val="28"/>
      <w:szCs w:val="32"/>
    </w:rPr>
  </w:style>
  <w:style w:type="character" w:customStyle="1" w:styleId="56">
    <w:name w:val="正文文本 2 字符"/>
    <w:link w:val="25"/>
    <w:autoRedefine/>
    <w:semiHidden/>
    <w:qFormat/>
    <w:uiPriority w:val="0"/>
    <w:rPr>
      <w:rFonts w:ascii="宋体" w:hAnsi="宋体"/>
      <w:color w:val="000000"/>
      <w:kern w:val="2"/>
      <w:sz w:val="21"/>
      <w:szCs w:val="24"/>
    </w:rPr>
  </w:style>
  <w:style w:type="character" w:customStyle="1" w:styleId="57">
    <w:name w:val="批注主题 字符"/>
    <w:link w:val="27"/>
    <w:autoRedefine/>
    <w:semiHidden/>
    <w:qFormat/>
    <w:uiPriority w:val="99"/>
    <w:rPr>
      <w:b/>
      <w:bCs/>
      <w:kern w:val="2"/>
      <w:sz w:val="21"/>
    </w:rPr>
  </w:style>
  <w:style w:type="character" w:customStyle="1" w:styleId="58">
    <w:name w:val="正文文本缩进 Char"/>
    <w:autoRedefine/>
    <w:semiHidden/>
    <w:qFormat/>
    <w:uiPriority w:val="99"/>
    <w:rPr>
      <w:kern w:val="2"/>
      <w:sz w:val="21"/>
    </w:rPr>
  </w:style>
  <w:style w:type="character" w:customStyle="1" w:styleId="59">
    <w:name w:val="纯文本 Char"/>
    <w:autoRedefine/>
    <w:semiHidden/>
    <w:qFormat/>
    <w:uiPriority w:val="0"/>
    <w:rPr>
      <w:rFonts w:ascii="宋体" w:hAnsi="Courier New" w:cs="Courier New"/>
      <w:kern w:val="2"/>
      <w:sz w:val="21"/>
      <w:szCs w:val="21"/>
    </w:rPr>
  </w:style>
  <w:style w:type="character" w:customStyle="1" w:styleId="60">
    <w:name w:val="font41"/>
    <w:autoRedefine/>
    <w:qFormat/>
    <w:uiPriority w:val="0"/>
    <w:rPr>
      <w:rFonts w:hint="eastAsia" w:ascii="宋体" w:hAnsi="宋体" w:eastAsia="宋体" w:cs="宋体"/>
      <w:color w:val="000000"/>
      <w:sz w:val="20"/>
      <w:szCs w:val="20"/>
      <w:u w:val="none"/>
    </w:rPr>
  </w:style>
  <w:style w:type="character" w:customStyle="1" w:styleId="61">
    <w:name w:val="left2"/>
    <w:autoRedefine/>
    <w:qFormat/>
    <w:uiPriority w:val="0"/>
    <w:rPr>
      <w:color w:val="FF4700"/>
    </w:rPr>
  </w:style>
  <w:style w:type="character" w:customStyle="1" w:styleId="62">
    <w:name w:val="lawsitemtext"/>
    <w:autoRedefine/>
    <w:qFormat/>
    <w:uiPriority w:val="0"/>
  </w:style>
  <w:style w:type="character" w:customStyle="1" w:styleId="63">
    <w:name w:val="font61"/>
    <w:autoRedefine/>
    <w:qFormat/>
    <w:uiPriority w:val="0"/>
    <w:rPr>
      <w:rFonts w:hint="default" w:ascii="Times New Roman" w:hAnsi="Times New Roman" w:cs="Times New Roman"/>
      <w:color w:val="000000"/>
      <w:sz w:val="20"/>
      <w:szCs w:val="20"/>
      <w:u w:val="single"/>
    </w:rPr>
  </w:style>
  <w:style w:type="character" w:customStyle="1" w:styleId="64">
    <w:name w:val="button"/>
    <w:autoRedefine/>
    <w:qFormat/>
    <w:uiPriority w:val="0"/>
  </w:style>
  <w:style w:type="character" w:customStyle="1" w:styleId="65">
    <w:name w:val="first-child"/>
    <w:autoRedefine/>
    <w:qFormat/>
    <w:uiPriority w:val="0"/>
  </w:style>
  <w:style w:type="character" w:customStyle="1" w:styleId="66">
    <w:name w:val="font11"/>
    <w:autoRedefine/>
    <w:qFormat/>
    <w:uiPriority w:val="0"/>
    <w:rPr>
      <w:rFonts w:hint="eastAsia" w:ascii="宋体" w:hAnsi="宋体" w:eastAsia="宋体" w:cs="宋体"/>
      <w:color w:val="000000"/>
      <w:sz w:val="20"/>
      <w:szCs w:val="20"/>
      <w:u w:val="single"/>
    </w:rPr>
  </w:style>
  <w:style w:type="character" w:customStyle="1" w:styleId="67">
    <w:name w:val="bd-open2"/>
    <w:autoRedefine/>
    <w:qFormat/>
    <w:uiPriority w:val="0"/>
  </w:style>
  <w:style w:type="character" w:customStyle="1" w:styleId="68">
    <w:name w:val="right"/>
    <w:autoRedefine/>
    <w:qFormat/>
    <w:uiPriority w:val="0"/>
  </w:style>
  <w:style w:type="character" w:customStyle="1" w:styleId="69">
    <w:name w:val="layui-layer-tabnow"/>
    <w:autoRedefine/>
    <w:qFormat/>
    <w:uiPriority w:val="0"/>
    <w:rPr>
      <w:bdr w:val="single" w:color="CCCCCC" w:sz="6" w:space="0"/>
      <w:shd w:val="clear" w:color="auto" w:fill="FFFFFF"/>
    </w:rPr>
  </w:style>
  <w:style w:type="character" w:customStyle="1" w:styleId="70">
    <w:name w:val="font51"/>
    <w:autoRedefine/>
    <w:qFormat/>
    <w:uiPriority w:val="0"/>
    <w:rPr>
      <w:rFonts w:hint="default" w:ascii="Times New Roman" w:hAnsi="Times New Roman" w:cs="Times New Roman"/>
      <w:color w:val="000000"/>
      <w:sz w:val="20"/>
      <w:szCs w:val="20"/>
      <w:u w:val="none"/>
    </w:rPr>
  </w:style>
  <w:style w:type="character" w:customStyle="1" w:styleId="71">
    <w:name w:val="tmpztreemove_arrow"/>
    <w:autoRedefine/>
    <w:qFormat/>
    <w:uiPriority w:val="0"/>
  </w:style>
  <w:style w:type="character" w:customStyle="1" w:styleId="72">
    <w:name w:val="bd-close"/>
    <w:autoRedefine/>
    <w:qFormat/>
    <w:uiPriority w:val="0"/>
    <w:rPr>
      <w:vanish/>
    </w:rPr>
  </w:style>
  <w:style w:type="character" w:customStyle="1" w:styleId="73">
    <w:name w:val="font21"/>
    <w:autoRedefine/>
    <w:qFormat/>
    <w:uiPriority w:val="0"/>
    <w:rPr>
      <w:rFonts w:hint="eastAsia" w:ascii="宋体" w:hAnsi="宋体" w:eastAsia="宋体" w:cs="宋体"/>
      <w:color w:val="000000"/>
      <w:sz w:val="20"/>
      <w:szCs w:val="20"/>
      <w:u w:val="none"/>
    </w:rPr>
  </w:style>
  <w:style w:type="character" w:customStyle="1" w:styleId="74">
    <w:name w:val="font31"/>
    <w:autoRedefine/>
    <w:qFormat/>
    <w:uiPriority w:val="0"/>
    <w:rPr>
      <w:rFonts w:hint="eastAsia" w:ascii="宋体" w:hAnsi="宋体" w:eastAsia="宋体" w:cs="宋体"/>
      <w:color w:val="000000"/>
      <w:sz w:val="20"/>
      <w:szCs w:val="20"/>
      <w:u w:val="none"/>
    </w:rPr>
  </w:style>
  <w:style w:type="paragraph" w:customStyle="1" w:styleId="75">
    <w:name w:val="报告节"/>
    <w:basedOn w:val="76"/>
    <w:next w:val="76"/>
    <w:autoRedefine/>
    <w:qFormat/>
    <w:uiPriority w:val="0"/>
    <w:pPr>
      <w:keepNext w:val="0"/>
      <w:widowControl/>
      <w:adjustRightInd/>
      <w:snapToGrid/>
      <w:spacing w:before="240" w:after="240" w:line="240" w:lineRule="auto"/>
      <w:ind w:firstLine="0" w:firstLineChars="100"/>
      <w:outlineLvl w:val="2"/>
    </w:pPr>
    <w:rPr>
      <w:b/>
      <w:kern w:val="0"/>
    </w:rPr>
  </w:style>
  <w:style w:type="paragraph" w:customStyle="1" w:styleId="76">
    <w:name w:val="报告正文"/>
    <w:basedOn w:val="1"/>
    <w:autoRedefine/>
    <w:qFormat/>
    <w:uiPriority w:val="0"/>
    <w:pPr>
      <w:keepNext/>
      <w:adjustRightInd w:val="0"/>
      <w:snapToGrid w:val="0"/>
      <w:spacing w:line="360" w:lineRule="auto"/>
      <w:ind w:firstLine="567"/>
    </w:pPr>
    <w:rPr>
      <w:rFonts w:eastAsia="仿宋_GB2312"/>
      <w:color w:val="000000"/>
      <w:sz w:val="28"/>
      <w:szCs w:val="28"/>
    </w:rPr>
  </w:style>
  <w:style w:type="paragraph" w:customStyle="1" w:styleId="77">
    <w:name w:val="_Style 75"/>
    <w:basedOn w:val="1"/>
    <w:next w:val="1"/>
    <w:autoRedefine/>
    <w:qFormat/>
    <w:uiPriority w:val="0"/>
    <w:pPr>
      <w:pBdr>
        <w:bottom w:val="single" w:color="auto" w:sz="6" w:space="1"/>
      </w:pBdr>
      <w:jc w:val="center"/>
    </w:pPr>
    <w:rPr>
      <w:rFonts w:ascii="Arial" w:eastAsia="宋体"/>
      <w:vanish/>
      <w:sz w:val="16"/>
    </w:rPr>
  </w:style>
  <w:style w:type="paragraph" w:customStyle="1" w:styleId="78">
    <w:name w:val="标题1"/>
    <w:basedOn w:val="3"/>
    <w:autoRedefine/>
    <w:qFormat/>
    <w:uiPriority w:val="0"/>
    <w:pPr>
      <w:numPr>
        <w:ilvl w:val="0"/>
        <w:numId w:val="2"/>
      </w:numPr>
      <w:topLinePunct/>
      <w:adjustRightInd w:val="0"/>
      <w:snapToGrid w:val="0"/>
      <w:jc w:val="left"/>
    </w:pPr>
    <w:rPr>
      <w:rFonts w:ascii="宋体" w:hAnsi="宋体"/>
      <w:b/>
      <w:color w:val="000000"/>
      <w:kern w:val="2"/>
      <w:sz w:val="28"/>
      <w:szCs w:val="28"/>
    </w:rPr>
  </w:style>
  <w:style w:type="paragraph" w:customStyle="1" w:styleId="79">
    <w:name w:val="正式文本"/>
    <w:basedOn w:val="1"/>
    <w:autoRedefine/>
    <w:qFormat/>
    <w:uiPriority w:val="0"/>
    <w:pPr>
      <w:spacing w:line="540" w:lineRule="exact"/>
      <w:ind w:firstLine="200" w:firstLineChars="200"/>
    </w:pPr>
    <w:rPr>
      <w:rFonts w:ascii="宋体" w:hAnsi="Arial Narrow"/>
      <w:sz w:val="28"/>
    </w:rPr>
  </w:style>
  <w:style w:type="paragraph" w:customStyle="1" w:styleId="80">
    <w:name w:val="标题2（新）"/>
    <w:basedOn w:val="4"/>
    <w:autoRedefine/>
    <w:qFormat/>
    <w:uiPriority w:val="0"/>
    <w:pPr>
      <w:widowControl/>
      <w:snapToGrid w:val="0"/>
      <w:spacing w:before="0" w:after="0" w:line="440" w:lineRule="exact"/>
      <w:jc w:val="left"/>
    </w:pPr>
    <w:rPr>
      <w:rFonts w:ascii="Times New Roman" w:hAnsi="Times New Roman" w:eastAsia="宋体" w:cs="Times New Roman"/>
      <w:kern w:val="0"/>
      <w:sz w:val="28"/>
      <w:szCs w:val="28"/>
    </w:rPr>
  </w:style>
  <w:style w:type="paragraph" w:customStyle="1" w:styleId="81">
    <w:name w:val="纯文本1"/>
    <w:basedOn w:val="1"/>
    <w:autoRedefine/>
    <w:qFormat/>
    <w:uiPriority w:val="0"/>
    <w:rPr>
      <w:rFonts w:ascii="宋体" w:hAnsi="Courier New"/>
    </w:rPr>
  </w:style>
  <w:style w:type="paragraph" w:styleId="82">
    <w:name w:val="List Paragraph"/>
    <w:basedOn w:val="1"/>
    <w:autoRedefine/>
    <w:qFormat/>
    <w:uiPriority w:val="34"/>
    <w:pPr>
      <w:ind w:firstLine="420" w:firstLineChars="200"/>
    </w:pPr>
    <w:rPr>
      <w:szCs w:val="24"/>
    </w:rPr>
  </w:style>
  <w:style w:type="paragraph" w:customStyle="1" w:styleId="83">
    <w:name w:val="表格侧编号"/>
    <w:next w:val="1"/>
    <w:autoRedefine/>
    <w:qFormat/>
    <w:uiPriority w:val="0"/>
    <w:pPr>
      <w:widowControl w:val="0"/>
      <w:adjustRightInd w:val="0"/>
      <w:snapToGrid w:val="0"/>
      <w:spacing w:before="40" w:after="20" w:line="240" w:lineRule="atLeast"/>
      <w:jc w:val="center"/>
      <w:textAlignment w:val="baseline"/>
    </w:pPr>
    <w:rPr>
      <w:rFonts w:ascii="Arial" w:hAnsi="Arial" w:eastAsia="宋体" w:cs="Times New Roman"/>
      <w:sz w:val="24"/>
      <w:szCs w:val="24"/>
      <w:lang w:val="en-US" w:eastAsia="zh-CN" w:bidi="ar-SA"/>
    </w:rPr>
  </w:style>
  <w:style w:type="paragraph" w:customStyle="1" w:styleId="84">
    <w:name w:val="_Style 82"/>
    <w:basedOn w:val="1"/>
    <w:next w:val="1"/>
    <w:autoRedefine/>
    <w:qFormat/>
    <w:uiPriority w:val="0"/>
    <w:pPr>
      <w:pBdr>
        <w:top w:val="single" w:color="auto" w:sz="6" w:space="1"/>
      </w:pBdr>
      <w:jc w:val="center"/>
    </w:pPr>
    <w:rPr>
      <w:rFonts w:ascii="Arial" w:eastAsia="宋体"/>
      <w:vanish/>
      <w:sz w:val="16"/>
    </w:rPr>
  </w:style>
  <w:style w:type="paragraph" w:customStyle="1" w:styleId="85">
    <w:name w:val="封面文件名称"/>
    <w:basedOn w:val="8"/>
    <w:autoRedefine/>
    <w:qFormat/>
    <w:uiPriority w:val="0"/>
    <w:pPr>
      <w:adjustRightInd w:val="0"/>
      <w:snapToGrid w:val="0"/>
      <w:spacing w:line="300" w:lineRule="auto"/>
      <w:ind w:firstLine="0" w:firstLineChars="0"/>
      <w:jc w:val="center"/>
    </w:pPr>
    <w:rPr>
      <w:rFonts w:ascii="仿宋_GB2312" w:eastAsia="仿宋_GB2312"/>
      <w:b/>
      <w:snapToGrid w:val="0"/>
      <w:color w:val="000000"/>
      <w:kern w:val="0"/>
      <w:sz w:val="52"/>
    </w:rPr>
  </w:style>
  <w:style w:type="paragraph" w:customStyle="1" w:styleId="86">
    <w:name w:val="表文字"/>
    <w:basedOn w:val="1"/>
    <w:autoRedefine/>
    <w:qFormat/>
    <w:uiPriority w:val="0"/>
    <w:pPr>
      <w:keepNext/>
      <w:spacing w:line="240" w:lineRule="exact"/>
      <w:ind w:firstLine="200" w:firstLineChars="200"/>
      <w:jc w:val="center"/>
    </w:pPr>
    <w:rPr>
      <w:rFonts w:ascii="仿宋_GB2312" w:eastAsia="仿宋_GB2312"/>
      <w:bCs/>
      <w:color w:val="000000"/>
      <w:kern w:val="0"/>
      <w:szCs w:val="24"/>
      <w:u w:val="none" w:color="000000"/>
    </w:rPr>
  </w:style>
  <w:style w:type="paragraph" w:customStyle="1" w:styleId="87">
    <w:name w:val="标题3"/>
    <w:basedOn w:val="5"/>
    <w:autoRedefine/>
    <w:qFormat/>
    <w:uiPriority w:val="0"/>
    <w:pPr>
      <w:keepNext w:val="0"/>
      <w:keepLines w:val="0"/>
      <w:numPr>
        <w:ilvl w:val="2"/>
        <w:numId w:val="2"/>
      </w:numPr>
      <w:tabs>
        <w:tab w:val="left" w:pos="840"/>
      </w:tabs>
      <w:topLinePunct/>
      <w:adjustRightInd w:val="0"/>
      <w:snapToGrid w:val="0"/>
      <w:spacing w:before="0" w:after="0" w:line="360" w:lineRule="auto"/>
      <w:ind w:right="100" w:rightChars="100"/>
      <w:jc w:val="left"/>
      <w:outlineLvl w:val="9"/>
    </w:pPr>
    <w:rPr>
      <w:rFonts w:ascii="宋体" w:hAnsi="宋体"/>
      <w:b w:val="0"/>
      <w:bCs w:val="0"/>
      <w:spacing w:val="2"/>
      <w:kern w:val="0"/>
      <w:sz w:val="24"/>
      <w:szCs w:val="24"/>
    </w:rPr>
  </w:style>
  <w:style w:type="paragraph" w:customStyle="1" w:styleId="88">
    <w:name w:val="标题2"/>
    <w:basedOn w:val="4"/>
    <w:autoRedefine/>
    <w:qFormat/>
    <w:uiPriority w:val="0"/>
    <w:pPr>
      <w:numPr>
        <w:ilvl w:val="1"/>
        <w:numId w:val="2"/>
      </w:numPr>
      <w:tabs>
        <w:tab w:val="left" w:pos="600"/>
      </w:tabs>
      <w:adjustRightInd w:val="0"/>
      <w:snapToGrid w:val="0"/>
      <w:spacing w:before="0" w:after="0" w:line="240" w:lineRule="auto"/>
      <w:jc w:val="left"/>
    </w:pPr>
    <w:rPr>
      <w:rFonts w:ascii="Times New Roman" w:hAnsi="Times New Roman" w:eastAsia="宋体" w:cs="Times New Roman"/>
      <w:bCs w:val="0"/>
      <w:kern w:val="0"/>
      <w:sz w:val="24"/>
      <w:szCs w:val="20"/>
    </w:rPr>
  </w:style>
  <w:style w:type="paragraph" w:customStyle="1" w:styleId="89">
    <w:name w:val="表头"/>
    <w:basedOn w:val="1"/>
    <w:autoRedefine/>
    <w:qFormat/>
    <w:uiPriority w:val="0"/>
    <w:pPr>
      <w:keepNext w:val="0"/>
      <w:snapToGrid w:val="0"/>
      <w:spacing w:line="400" w:lineRule="exact"/>
      <w:ind w:firstLine="975"/>
      <w:jc w:val="center"/>
    </w:pPr>
    <w:rPr>
      <w:b/>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25171;&#21360;&#26426;&#39537;&#21160;&#21161;&#25163;\commo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4</Pages>
  <Words>515</Words>
  <Characters>2942</Characters>
  <Lines>24</Lines>
  <Paragraphs>6</Paragraphs>
  <TotalTime>0</TotalTime>
  <ScaleCrop>false</ScaleCrop>
  <LinksUpToDate>false</LinksUpToDate>
  <CharactersWithSpaces>3451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2016-12-01T02:36:00Z</dcterms:created>
  <dc:creator>Lion</dc:creator>
  <cp:lastModifiedBy>嘿疯餒</cp:lastModifiedBy>
  <cp:lastPrinted>2024-01-03T02:39:00Z</cp:lastPrinted>
  <dcterms:modified xsi:type="dcterms:W3CDTF">2024-04-19T01:36:32Z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797933F9A987470ABB420AE99F054783_13</vt:lpwstr>
  </property>
</Properties>
</file>