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白芦煤业《土地现状调查及征地报批技术咨询服务》</w:t>
      </w:r>
    </w:p>
    <w:p>
      <w:pPr>
        <w:pStyle w:val="19"/>
        <w:jc w:val="center"/>
        <w:rPr>
          <w:rFonts w:hint="eastAsia" w:ascii="黑体" w:hAnsi="黑体" w:eastAsia="黑体" w:cs="黑体"/>
          <w:sz w:val="36"/>
          <w:szCs w:val="36"/>
          <w:highlight w:val="yellow"/>
          <w:lang w:val="en-US" w:eastAsia="zh-CN"/>
        </w:rPr>
      </w:pPr>
      <w:r>
        <w:rPr>
          <w:rFonts w:hint="eastAsia" w:ascii="黑体" w:hAnsi="黑体" w:eastAsia="黑体" w:cs="黑体"/>
          <w:b w:val="0"/>
          <w:bCs w:val="0"/>
          <w:sz w:val="36"/>
          <w:szCs w:val="36"/>
          <w:highlight w:val="none"/>
          <w:lang w:val="en-US" w:eastAsia="zh-CN"/>
        </w:rPr>
        <w:t>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XJ202404HYGC118</w:t>
      </w:r>
    </w:p>
    <w:p>
      <w:pPr>
        <w:autoSpaceDE w:val="0"/>
        <w:autoSpaceDN w:val="0"/>
        <w:adjustRightInd w:val="0"/>
        <w:spacing w:line="240" w:lineRule="atLeast"/>
        <w:ind w:left="259" w:firstLine="1536" w:firstLineChars="480"/>
        <w:rPr>
          <w:rFonts w:hint="default"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6"/>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color w:val="auto"/>
          <w:sz w:val="24"/>
          <w:szCs w:val="24"/>
          <w:highlight w:val="none"/>
          <w:lang w:val="en-US" w:eastAsia="zh-CN"/>
        </w:rPr>
        <w:t>中煤华昱公司</w:t>
      </w:r>
      <w:r>
        <w:rPr>
          <w:rFonts w:hint="eastAsia" w:ascii="宋体" w:hAnsi="宋体" w:eastAsia="宋体" w:cs="宋体"/>
          <w:b w:val="0"/>
          <w:bCs w:val="0"/>
          <w:color w:val="auto"/>
          <w:sz w:val="24"/>
          <w:szCs w:val="24"/>
          <w:highlight w:val="none"/>
          <w:lang w:val="en-US" w:eastAsia="zh-CN"/>
        </w:rPr>
        <w:t>白芦煤业有限公司《土地现状调查及征地报批技术咨询服务》项目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报名截止日期：2024年4月25日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报价截止时间：2024年4月25日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报价揭价时间：2024年4月25日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color w:val="auto"/>
          <w:sz w:val="24"/>
          <w:szCs w:val="24"/>
          <w:highlight w:val="none"/>
          <w:lang w:val="en-US" w:eastAsia="zh-CN"/>
        </w:rPr>
        <w:t>山西朔州平鲁区茂华白芦煤业有限公司位于朔州市平鲁区，平鲁城东南8km处，行政区划隶属平鲁区陶村乡、下面高乡管辖。井田地理位置为：东经112°26′03″—112°29′03″，北纬39°28′00″—39°29′56″。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w:t>
      </w:r>
      <w:r>
        <w:rPr>
          <w:rFonts w:hint="eastAsia" w:ascii="宋体" w:hAnsi="宋体" w:cs="宋体"/>
          <w:b w:val="0"/>
          <w:bCs w:val="0"/>
          <w:color w:val="auto"/>
          <w:sz w:val="24"/>
          <w:szCs w:val="24"/>
          <w:highlight w:val="none"/>
          <w:lang w:val="en-US" w:eastAsia="zh-CN"/>
        </w:rPr>
        <w:t>白芦</w:t>
      </w:r>
      <w:r>
        <w:rPr>
          <w:rFonts w:hint="eastAsia" w:ascii="宋体" w:hAnsi="宋体" w:eastAsia="宋体" w:cs="宋体"/>
          <w:b w:val="0"/>
          <w:bCs w:val="0"/>
          <w:color w:val="auto"/>
          <w:sz w:val="24"/>
          <w:szCs w:val="24"/>
          <w:highlight w:val="none"/>
          <w:lang w:val="en-US" w:eastAsia="zh-CN"/>
        </w:rPr>
        <w:t>煤业需要进行国有土地手续办理。由于办理土地手续繁琐且涉及多个监管部门。</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白芦煤业</w:t>
      </w:r>
      <w:r>
        <w:rPr>
          <w:rFonts w:hint="eastAsia" w:ascii="宋体" w:hAnsi="宋体" w:eastAsia="宋体" w:cs="宋体"/>
          <w:b w:val="0"/>
          <w:bCs w:val="0"/>
          <w:color w:val="auto"/>
          <w:sz w:val="24"/>
          <w:szCs w:val="24"/>
          <w:highlight w:val="none"/>
          <w:lang w:val="en-US" w:eastAsia="zh-CN"/>
        </w:rPr>
        <w:t>需进行《土地现状调查及征地报批技术咨询服务》</w:t>
      </w:r>
      <w:r>
        <w:rPr>
          <w:rFonts w:hint="eastAsia" w:ascii="宋体" w:hAnsi="宋体" w:cs="宋体"/>
          <w:b w:val="0"/>
          <w:bCs w:val="0"/>
          <w:color w:val="auto"/>
          <w:sz w:val="24"/>
          <w:szCs w:val="24"/>
          <w:highlight w:val="none"/>
          <w:lang w:val="en-US" w:eastAsia="zh-CN"/>
        </w:rPr>
        <w:t>，现就本项目进行国内公开询比价。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color w:val="auto"/>
          <w:sz w:val="24"/>
          <w:szCs w:val="24"/>
          <w:highlight w:val="none"/>
          <w:lang w:val="en-US" w:eastAsia="zh-CN"/>
        </w:rPr>
        <w:t>合同签订后180天内完成资料收集、现状调查、资料汇总和最终上报。</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4.服务地点：朔州市平鲁区茂华白芦煤业有限公司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5.报价方式：固定总价（含税,税率6%）</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⑴拟征收土地现状调查表1份；</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⑵建设项目用地申请文件、申报材料、申报图件各1份；</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⑶省人民政府批复文件1份</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pStyle w:val="40"/>
        <w:keepNext w:val="0"/>
        <w:keepLines w:val="0"/>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8.验收标准：完成</w:t>
      </w:r>
      <w:r>
        <w:rPr>
          <w:rFonts w:hint="eastAsia" w:ascii="宋体" w:hAnsi="宋体" w:eastAsia="宋体" w:cs="宋体"/>
          <w:b w:val="0"/>
          <w:bCs w:val="0"/>
          <w:color w:val="auto"/>
          <w:sz w:val="24"/>
          <w:szCs w:val="24"/>
          <w:highlight w:val="none"/>
          <w:lang w:val="en-US" w:eastAsia="zh-CN"/>
        </w:rPr>
        <w:t>土地现状调查及征地报批技术咨询服务</w:t>
      </w:r>
      <w:r>
        <w:rPr>
          <w:rFonts w:hint="eastAsia" w:ascii="宋体" w:hAnsi="宋体" w:cs="宋体"/>
          <w:b w:val="0"/>
          <w:bCs w:val="0"/>
          <w:color w:val="auto"/>
          <w:sz w:val="24"/>
          <w:szCs w:val="24"/>
          <w:highlight w:val="none"/>
          <w:lang w:val="en-US" w:eastAsia="zh-CN"/>
        </w:rPr>
        <w:t>取得县自然资源局</w:t>
      </w:r>
      <w:r>
        <w:rPr>
          <w:rFonts w:hint="eastAsia" w:ascii="宋体" w:hAnsi="宋体" w:eastAsia="宋体" w:cs="宋体"/>
          <w:b w:val="0"/>
          <w:bCs w:val="0"/>
          <w:color w:val="auto"/>
          <w:sz w:val="24"/>
          <w:szCs w:val="24"/>
          <w:highlight w:val="none"/>
          <w:lang w:val="en-US" w:eastAsia="zh-CN"/>
        </w:rPr>
        <w:t>征收土地现状调查表1份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省人民政府批复文件1份</w:t>
      </w:r>
      <w:r>
        <w:rPr>
          <w:rFonts w:hint="eastAsia" w:ascii="宋体" w:hAnsi="宋体" w:eastAsia="宋体" w:cs="宋体"/>
          <w:b w:val="0"/>
          <w:bCs w:val="0"/>
          <w:kern w:val="2"/>
          <w:sz w:val="24"/>
          <w:szCs w:val="24"/>
          <w:highlight w:val="none"/>
          <w:lang w:val="en-US" w:eastAsia="zh-CN" w:bidi="ar-SA"/>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2.报价人须具有土地规划乙级及以上资质。</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3.报价人须提供近3年（2021年至今）至少3例同类项目业绩（提供合同关键页）。</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 xml:space="preserve"> 4.报价人</w:t>
      </w:r>
      <w:r>
        <w:rPr>
          <w:rFonts w:hint="eastAsia" w:ascii="宋体" w:hAnsi="宋体" w:eastAsia="宋体" w:cs="宋体"/>
          <w:b w:val="0"/>
          <w:bCs w:val="0"/>
          <w:kern w:val="2"/>
          <w:sz w:val="24"/>
          <w:szCs w:val="24"/>
          <w:highlight w:val="none"/>
          <w:lang w:val="en-US" w:eastAsia="zh-CN" w:bidi="ar-SA"/>
        </w:rPr>
        <w:t>具有良好的企业经营、资信状况，无不良经营业绩（需提供近6个月内银行资信证明）。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报价为含税价（税率</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pP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一、服务方式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根据土地征收启动公告中土地现状调查的安排，与乡政府和村集体或其他负责征地工作的单位沟通，按期组织有关人员对拟征土地的情况、权属、地类、面积、落实有无承包到户土地以及村民住宅、其他地上附着物和青苗等的权属、种类、数量等情况进行实地调查，并填写“拟征收土地现状调查表”，参加人员共同签字确认；按照约定完成建设项目用地报批资料编制及报批的技术服务，乙方制作的用地请示文件等其他文件，内容、形式上应当符合政府相关部门要求，并为甲方取得相关批复文件。</w:t>
      </w:r>
    </w:p>
    <w:p>
      <w:pPr>
        <w:spacing w:line="360" w:lineRule="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二、交付成果</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1、拟征收土地现状调查表 1 份；建设项目用地申请文件、申报材料、申报图件各 1 份；山西省人民政府批复文件 1 份。</w:t>
      </w:r>
    </w:p>
    <w:p>
      <w:pPr>
        <w:pStyle w:val="2"/>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三、支付方式</w:t>
      </w:r>
    </w:p>
    <w:p>
      <w:pPr>
        <w:spacing w:line="360" w:lineRule="auto"/>
        <w:ind w:firstLine="480" w:firstLineChars="200"/>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2、支付方式：</w:t>
      </w:r>
    </w:p>
    <w:p>
      <w:pPr>
        <w:spacing w:line="360" w:lineRule="auto"/>
        <w:ind w:firstLine="480" w:firstLineChars="200"/>
        <w:rPr>
          <w:rFonts w:hint="default" w:ascii="宋体" w:hAnsi="宋体" w:cs="宋体"/>
          <w:b w:val="0"/>
          <w:bCs w:val="0"/>
          <w:sz w:val="24"/>
          <w:szCs w:val="24"/>
          <w:highlight w:val="none"/>
          <w:lang w:val="en-US" w:eastAsia="zh-CN"/>
        </w:rPr>
      </w:pPr>
      <w:r>
        <w:rPr>
          <w:rFonts w:hint="default" w:ascii="宋体" w:hAnsi="宋体" w:cs="宋体"/>
          <w:b w:val="0"/>
          <w:bCs w:val="0"/>
          <w:sz w:val="24"/>
          <w:szCs w:val="24"/>
          <w:highlight w:val="none"/>
          <w:lang w:val="en-US" w:eastAsia="zh-CN"/>
        </w:rPr>
        <w:t>乙方取得山西省人民政府批复文件并配合甲方取得国有土地证后，乙方向甲方提供合同第三条要求的全部劳动成果，甲方按财务结算流程一次性支付乙方全部合同款项。甲方付款前，乙方应当按照甲方财务要求提供相应的税务发票，并按照甲方公司及其上级主管部门的规定履行付款审批程序。甲乙双方均认可前述内容为乙方的重大义务，如乙方未能完全履行该义务，则甲方有权拒付相应款项</w:t>
      </w:r>
      <w:r>
        <w:rPr>
          <w:rFonts w:hint="eastAsia" w:ascii="宋体" w:hAnsi="宋体" w:cs="宋体"/>
          <w:b w:val="0"/>
          <w:bCs w:val="0"/>
          <w:sz w:val="24"/>
          <w:szCs w:val="24"/>
          <w:highlight w:val="none"/>
          <w:lang w:val="en-US" w:eastAsia="zh-CN"/>
        </w:rPr>
        <w:t>。</w:t>
      </w:r>
    </w:p>
    <w:p>
      <w:pPr>
        <w:keepNext/>
        <w:keepLines/>
        <w:pageBreakBefore/>
        <w:numPr>
          <w:ilvl w:val="0"/>
          <w:numId w:val="6"/>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（一）内容要求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1.根据土地征收启动公告中土地现状调查的安排，与乡政府和村集体或其</w:t>
      </w:r>
      <w:r>
        <w:rPr>
          <w:rFonts w:hint="eastAsia" w:ascii="宋体" w:hAnsi="宋体" w:cs="宋体"/>
          <w:b w:val="0"/>
          <w:bCs w:val="0"/>
          <w:kern w:val="2"/>
          <w:sz w:val="24"/>
          <w:szCs w:val="24"/>
          <w:highlight w:val="none"/>
          <w:lang w:val="en-US" w:eastAsia="zh-CN" w:bidi="ar-SA"/>
        </w:rPr>
        <w:t>它</w:t>
      </w:r>
      <w:r>
        <w:rPr>
          <w:rFonts w:hint="eastAsia" w:ascii="宋体" w:hAnsi="宋体" w:eastAsia="宋体" w:cs="宋体"/>
          <w:b w:val="0"/>
          <w:bCs w:val="0"/>
          <w:kern w:val="2"/>
          <w:sz w:val="24"/>
          <w:szCs w:val="24"/>
          <w:highlight w:val="none"/>
          <w:lang w:val="en-US" w:eastAsia="zh-CN" w:bidi="ar-SA"/>
        </w:rPr>
        <w:t>负责征地工作的单位沟通，按期组织有关人员对拟征土地的情况、权属、地类、面积、落实有无承包到户土地以及村民住宅、其他地上附着物和青苗等的权属、种类、数量等情况进行实地调查，并填写“拟征收土地现状调查表”，参加人员共同签字确认。</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2.按照约定完成建设项目用地报批资料及报批的技术服务，制作的土地请示文件等文件内容、形式上应当符合各级土资源管理部门或人民政府的要求，并为甲方取得相关批准文件。</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（二）技术要求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1.《中华人民共和国土地管理法》（2019年8 月修订）；</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2.《中华人民共和国土地管理法实施条例》（2021年4月修订）；</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3.其他相关技术标准和规程规范要求。</w:t>
      </w:r>
    </w:p>
    <w:p>
      <w:pPr>
        <w:spacing w:line="360" w:lineRule="auto"/>
        <w:ind w:firstLine="480" w:firstLineChars="200"/>
        <w:rPr>
          <w:rFonts w:hint="eastAsia" w:ascii="宋体" w:hAnsi="宋体" w:cs="宋体"/>
          <w:b w:val="0"/>
          <w:bCs w:val="0"/>
          <w:color w:val="auto"/>
          <w:sz w:val="24"/>
          <w:szCs w:val="24"/>
          <w:highlight w:val="none"/>
          <w:lang w:eastAsia="zh-CN"/>
        </w:rPr>
      </w:pPr>
    </w:p>
    <w:p>
      <w:pPr>
        <w:pStyle w:val="16"/>
        <w:numPr>
          <w:ilvl w:val="0"/>
          <w:numId w:val="0"/>
        </w:numPr>
        <w:rPr>
          <w:rFonts w:hint="default" w:eastAsia="宋体"/>
          <w:highlight w:val="red"/>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XXX单位报价书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9"/>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numPr>
          <w:ilvl w:val="0"/>
          <w:numId w:val="9"/>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4F46E"/>
    <w:multiLevelType w:val="singleLevel"/>
    <w:tmpl w:val="EE44F46E"/>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ZTZkYmJkNzQ5YzZiYjhkODU0OGVlMWFmYmRiY2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971860"/>
    <w:rsid w:val="08321601"/>
    <w:rsid w:val="08A8480D"/>
    <w:rsid w:val="09352049"/>
    <w:rsid w:val="0A912D3C"/>
    <w:rsid w:val="0B440B42"/>
    <w:rsid w:val="0BCA33E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331E1A"/>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693FC4"/>
    <w:rsid w:val="27F02089"/>
    <w:rsid w:val="280E7427"/>
    <w:rsid w:val="2878694B"/>
    <w:rsid w:val="288202F1"/>
    <w:rsid w:val="28835C82"/>
    <w:rsid w:val="2885643D"/>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220001"/>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4F737E7"/>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94570D"/>
    <w:rsid w:val="5EBB05F2"/>
    <w:rsid w:val="5F170D3A"/>
    <w:rsid w:val="5FB312DF"/>
    <w:rsid w:val="60421C7F"/>
    <w:rsid w:val="60870A2D"/>
    <w:rsid w:val="60893EE2"/>
    <w:rsid w:val="60EF445E"/>
    <w:rsid w:val="61857F0D"/>
    <w:rsid w:val="61953D13"/>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3E6E4D"/>
    <w:rsid w:val="73BD08B4"/>
    <w:rsid w:val="74826C48"/>
    <w:rsid w:val="74A756F2"/>
    <w:rsid w:val="74F710CB"/>
    <w:rsid w:val="750E0A19"/>
    <w:rsid w:val="757C1CC4"/>
    <w:rsid w:val="7583593C"/>
    <w:rsid w:val="75B51DBC"/>
    <w:rsid w:val="76362AC9"/>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2">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2"/>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2"/>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6</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2024-04-06T01:49:00Z</cp:lastPrinted>
  <dcterms:modified xsi:type="dcterms:W3CDTF">2024-04-18T07:41:01Z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48C1B9A0545D4101B11041EDB24FDDA9_13</vt:lpwstr>
  </property>
</Properties>
</file>